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 2026</w:t>
      </w:r>
    </w:p>
    <w:p>
      <w:pPr>
        <w:spacing w:after="0" w:line="30"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Eagle Nuclear Energy Corp.</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6" w:lineRule="exact"/>
        <w:rPr>
          <w:sz w:val="24"/>
          <w:szCs w:val="24"/>
          <w:color w:val="auto"/>
        </w:rPr>
      </w:pPr>
    </w:p>
    <w:tbl>
      <w:tblPr>
        <w:tblLayout w:type="fixed"/>
        <w:tblInd w:w="1320" w:type="dxa"/>
        <w:tblCellMar>
          <w:top w:w="0" w:type="dxa"/>
          <w:left w:w="0" w:type="dxa"/>
          <w:bottom w:w="0" w:type="dxa"/>
          <w:right w:w="0" w:type="dxa"/>
        </w:tblCellMar>
      </w:tblPr>
      <w:tr>
        <w:trPr>
          <w:trHeight w:val="218"/>
        </w:trPr>
        <w:tc>
          <w:tcPr>
            <w:tcW w:w="4620" w:type="dxa"/>
            <w:vAlign w:val="bottom"/>
          </w:tcPr>
          <w:p>
            <w:pPr>
              <w:jc w:val="center"/>
              <w:ind w:right="1631"/>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38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41-3113978</w:t>
            </w:r>
          </w:p>
        </w:tc>
      </w:tr>
      <w:tr>
        <w:trPr>
          <w:trHeight w:val="214"/>
        </w:trPr>
        <w:tc>
          <w:tcPr>
            <w:tcW w:w="4620" w:type="dxa"/>
            <w:vAlign w:val="bottom"/>
          </w:tcPr>
          <w:p>
            <w:pPr>
              <w:jc w:val="center"/>
              <w:ind w:right="1651"/>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3380" w:type="dxa"/>
            <w:vAlign w:val="bottom"/>
          </w:tcPr>
          <w:p>
            <w:pPr>
              <w:jc w:val="center"/>
              <w:ind w:left="1631"/>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4620" w:type="dxa"/>
            <w:vAlign w:val="bottom"/>
          </w:tcPr>
          <w:p>
            <w:pPr>
              <w:jc w:val="center"/>
              <w:ind w:right="1651"/>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80" w:type="dxa"/>
            <w:vAlign w:val="bottom"/>
          </w:tcPr>
          <w:p>
            <w:pPr>
              <w:jc w:val="center"/>
              <w:ind w:left="1631"/>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05"/>
        </w:trPr>
        <w:tc>
          <w:tcPr>
            <w:tcW w:w="4620" w:type="dxa"/>
            <w:vAlign w:val="bottom"/>
          </w:tcPr>
          <w:p>
            <w:pPr>
              <w:jc w:val="center"/>
              <w:ind w:right="1651"/>
              <w:spacing w:after="0"/>
              <w:rPr>
                <w:sz w:val="20"/>
                <w:szCs w:val="20"/>
                <w:color w:val="auto"/>
              </w:rPr>
            </w:pPr>
            <w:r>
              <w:rPr>
                <w:rFonts w:ascii="Times New Roman" w:cs="Times New Roman" w:eastAsia="Times New Roman" w:hAnsi="Times New Roman"/>
                <w:sz w:val="18"/>
                <w:szCs w:val="18"/>
                <w:b w:val="1"/>
                <w:bCs w:val="1"/>
                <w:color w:val="auto"/>
                <w:w w:val="98"/>
              </w:rPr>
              <w:t>5470 Kietzke Lane, Suite 300</w:t>
            </w:r>
          </w:p>
        </w:tc>
        <w:tc>
          <w:tcPr>
            <w:tcW w:w="3380" w:type="dxa"/>
            <w:vAlign w:val="bottom"/>
          </w:tcPr>
          <w:p>
            <w:pPr>
              <w:spacing w:after="0"/>
              <w:rPr>
                <w:sz w:val="24"/>
                <w:szCs w:val="24"/>
                <w:color w:val="auto"/>
              </w:rPr>
            </w:pPr>
          </w:p>
        </w:tc>
      </w:tr>
      <w:tr>
        <w:trPr>
          <w:trHeight w:val="218"/>
        </w:trPr>
        <w:tc>
          <w:tcPr>
            <w:tcW w:w="4620" w:type="dxa"/>
            <w:vAlign w:val="bottom"/>
          </w:tcPr>
          <w:p>
            <w:pPr>
              <w:jc w:val="center"/>
              <w:ind w:right="1631"/>
              <w:spacing w:after="0"/>
              <w:rPr>
                <w:sz w:val="20"/>
                <w:szCs w:val="20"/>
                <w:color w:val="auto"/>
              </w:rPr>
            </w:pPr>
            <w:r>
              <w:rPr>
                <w:rFonts w:ascii="Times New Roman" w:cs="Times New Roman" w:eastAsia="Times New Roman" w:hAnsi="Times New Roman"/>
                <w:sz w:val="18"/>
                <w:szCs w:val="18"/>
                <w:b w:val="1"/>
                <w:bCs w:val="1"/>
                <w:color w:val="auto"/>
                <w:w w:val="99"/>
              </w:rPr>
              <w:t>Reno, Nevada</w:t>
            </w:r>
          </w:p>
        </w:tc>
        <w:tc>
          <w:tcPr>
            <w:tcW w:w="338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89511</w:t>
            </w:r>
          </w:p>
        </w:tc>
      </w:tr>
      <w:tr>
        <w:trPr>
          <w:trHeight w:val="233"/>
        </w:trPr>
        <w:tc>
          <w:tcPr>
            <w:tcW w:w="4620" w:type="dxa"/>
            <w:vAlign w:val="bottom"/>
          </w:tcPr>
          <w:p>
            <w:pPr>
              <w:jc w:val="center"/>
              <w:ind w:right="163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3380" w:type="dxa"/>
            <w:vAlign w:val="bottom"/>
          </w:tcPr>
          <w:p>
            <w:pPr>
              <w:jc w:val="center"/>
              <w:ind w:left="163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Eagle Nuclear Energy Corp. 2025 Equity Incentive Plan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Manavdeep Mukhija</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5470 Kietzke Lane, Suite 300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Reno, NV 89511</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(775) 335-2029</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 Peter Strand</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Nelson Mullins Riley &amp; Scarborough LLP</w:t>
      </w:r>
    </w:p>
    <w:p>
      <w:pPr>
        <w:jc w:val="center"/>
        <w:ind w:right="-19"/>
        <w:spacing w:after="0" w:line="188" w:lineRule="auto"/>
        <w:rPr>
          <w:sz w:val="20"/>
          <w:szCs w:val="20"/>
          <w:color w:val="auto"/>
        </w:rPr>
      </w:pPr>
      <w:r>
        <w:rPr>
          <w:rFonts w:ascii="Times New Roman" w:cs="Times New Roman" w:eastAsia="Times New Roman" w:hAnsi="Times New Roman"/>
          <w:sz w:val="18"/>
          <w:szCs w:val="18"/>
          <w:b w:val="1"/>
          <w:bCs w:val="1"/>
          <w:color w:val="auto"/>
        </w:rPr>
        <w:t>901 15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Street NW, Suite 1200</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20005</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(202) 689-2800</w:t>
      </w:r>
    </w:p>
    <w:p>
      <w:pPr>
        <w:spacing w:after="0" w:line="202"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3"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The documents containing information specified by Part I of this Registration Statement on Form S-8 (this “Registration Statement”) have been or will be sent or given to participants in the plan listed on the cover of this Registration Statement (the “Plan”) as specified in Rule 428(b)(1) promulgated by the Securities and Exchange Commission (the “SEC”) under the Securities Act of 1933, as amended (the “Securities Act”). Such documents are not being filed with the SEC but constitute (along with the documents incorporated by reference into the Registration Statement pursuant to Item 3 of Part II hereof) a prospectus which meets the requirements of Section 10(a) of the Securities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with the Commission are incorporated herein by reference:</w:t>
      </w:r>
    </w:p>
    <w:p>
      <w:pPr>
        <w:spacing w:after="0" w:line="220" w:lineRule="exact"/>
        <w:rPr>
          <w:sz w:val="20"/>
          <w:szCs w:val="20"/>
          <w:color w:val="auto"/>
        </w:rPr>
      </w:pPr>
    </w:p>
    <w:p>
      <w:pPr>
        <w:jc w:val="both"/>
        <w:ind w:left="180" w:hanging="173"/>
        <w:spacing w:after="0" w:line="262"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prospectus filed with the Commission pursuant to Rule 424(b) of the Securities Act on </w:t>
      </w:r>
      <w:hyperlink r:id="rId13">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auto"/>
        </w:rPr>
        <w:t xml:space="preserve">, relating to the Registrant’s Registration Statement on </w:t>
      </w:r>
      <w:hyperlink r:id="rId14">
        <w:r>
          <w:rPr>
            <w:rFonts w:ascii="Times New Roman" w:cs="Times New Roman" w:eastAsia="Times New Roman" w:hAnsi="Times New Roman"/>
            <w:sz w:val="18"/>
            <w:szCs w:val="18"/>
            <w:u w:val="single" w:color="auto"/>
            <w:color w:val="0000EE"/>
          </w:rPr>
          <w:t>Form S-1, as amended (File No. 333-294464)</w:t>
        </w:r>
      </w:hyperlink>
      <w:r>
        <w:rPr>
          <w:rFonts w:ascii="Times New Roman" w:cs="Times New Roman" w:eastAsia="Times New Roman" w:hAnsi="Times New Roman"/>
          <w:sz w:val="18"/>
          <w:szCs w:val="18"/>
          <w:color w:val="auto"/>
        </w:rPr>
        <w:t>, which contains the audited financial statements for the Registrant’s latest fiscal year for which such statements have been filed;</w:t>
      </w:r>
    </w:p>
    <w:p>
      <w:pPr>
        <w:spacing w:after="0" w:line="176"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1"/>
        </w:numPr>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The Registrant’s Quarterly Report on Form 10-Q for the fiscal quarter ended February 28, 2026 filed with the SEC on April 15, 2026;</w:t>
        </w:r>
      </w:hyperlink>
    </w:p>
    <w:p>
      <w:pPr>
        <w:spacing w:after="0" w:line="219" w:lineRule="exact"/>
        <w:rPr>
          <w:rFonts w:ascii="Times New Roman" w:cs="Times New Roman" w:eastAsia="Times New Roman" w:hAnsi="Times New Roman"/>
          <w:sz w:val="18"/>
          <w:szCs w:val="18"/>
          <w:u w:val="single" w:color="auto"/>
          <w:color w:val="0000EE"/>
        </w:rPr>
      </w:pPr>
    </w:p>
    <w:p>
      <w:pPr>
        <w:ind w:left="180" w:hanging="173"/>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SEC on </w:t>
      </w:r>
      <w:hyperlink r:id="rId16">
        <w:r>
          <w:rPr>
            <w:rFonts w:ascii="Times New Roman" w:cs="Times New Roman" w:eastAsia="Times New Roman" w:hAnsi="Times New Roman"/>
            <w:sz w:val="18"/>
            <w:szCs w:val="18"/>
            <w:u w:val="single" w:color="auto"/>
            <w:color w:val="0000EE"/>
          </w:rPr>
          <w:t>March 2, 2026</w:t>
        </w:r>
      </w:hyperlink>
      <w:r>
        <w:rPr>
          <w:rFonts w:ascii="Times New Roman" w:cs="Times New Roman" w:eastAsia="Times New Roman" w:hAnsi="Times New Roman"/>
          <w:sz w:val="18"/>
          <w:szCs w:val="18"/>
          <w:color w:val="auto"/>
        </w:rPr>
        <w:t>; and</w:t>
      </w:r>
    </w:p>
    <w:p>
      <w:pPr>
        <w:spacing w:after="0" w:line="219" w:lineRule="exact"/>
        <w:rPr>
          <w:rFonts w:ascii="Times New Roman" w:cs="Times New Roman" w:eastAsia="Times New Roman" w:hAnsi="Times New Roman"/>
          <w:sz w:val="18"/>
          <w:szCs w:val="18"/>
          <w:color w:val="auto"/>
        </w:rPr>
      </w:pPr>
    </w:p>
    <w:p>
      <w:pPr>
        <w:ind w:left="180" w:hanging="173"/>
        <w:spacing w:after="0" w:line="276"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its Registration Statement on </w:t>
      </w:r>
      <w:hyperlink r:id="rId17">
        <w:r>
          <w:rPr>
            <w:rFonts w:ascii="Times New Roman" w:cs="Times New Roman" w:eastAsia="Times New Roman" w:hAnsi="Times New Roman"/>
            <w:sz w:val="18"/>
            <w:szCs w:val="18"/>
            <w:u w:val="single" w:color="auto"/>
            <w:color w:val="0000EE"/>
          </w:rPr>
          <w:t>Form 8-A, as filed with the SEC on February 24, 2026</w:t>
        </w:r>
      </w:hyperlink>
      <w:r>
        <w:rPr>
          <w:rFonts w:ascii="Times New Roman" w:cs="Times New Roman" w:eastAsia="Times New Roman" w:hAnsi="Times New Roman"/>
          <w:sz w:val="18"/>
          <w:szCs w:val="18"/>
          <w:color w:val="auto"/>
        </w:rPr>
        <w:t>, including any amendments or reports filed with the SEC for the purpose of updating such description.</w:t>
      </w:r>
    </w:p>
    <w:p>
      <w:pPr>
        <w:spacing w:after="0" w:line="164" w:lineRule="exact"/>
        <w:rPr>
          <w:rFonts w:ascii="Arial" w:cs="Arial" w:eastAsia="Arial" w:hAnsi="Arial"/>
          <w:sz w:val="18"/>
          <w:szCs w:val="18"/>
          <w:b w:val="1"/>
          <w:bCs w:val="1"/>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with the SEC by the Registrant pursuant to Sections 13(a), 13(c), 14 and 15(d) of the Securities Exchange Act of 1934, prior to the filing of a post-effective amendment to this registration statement which indicates that all securities offered have been sold or which deregisters all securities then remaining unsold, shall be deemed to be incorporated by reference in this registration statement (in each case excluding any information furnished and not filed according to applicable rules, such as information furnished pursuant to Item 2.02 or Item 7.01 on any Current Report on Form 8-K) and to be part hereof from the date of filing of such documents.</w:t>
      </w:r>
    </w:p>
    <w:p>
      <w:pPr>
        <w:spacing w:after="0" w:line="183" w:lineRule="exact"/>
        <w:rPr>
          <w:rFonts w:ascii="Arial" w:cs="Arial" w:eastAsia="Arial" w:hAnsi="Arial"/>
          <w:sz w:val="18"/>
          <w:szCs w:val="18"/>
          <w:b w:val="1"/>
          <w:bCs w:val="1"/>
          <w:color w:val="auto"/>
        </w:rPr>
      </w:pPr>
    </w:p>
    <w:p>
      <w:pPr>
        <w:jc w:val="both"/>
        <w:ind w:firstLine="321"/>
        <w:spacing w:after="0" w:line="271" w:lineRule="auto"/>
        <w:rPr>
          <w:sz w:val="20"/>
          <w:szCs w:val="20"/>
          <w:color w:val="auto"/>
        </w:rPr>
      </w:pPr>
      <w:r>
        <w:rPr>
          <w:rFonts w:ascii="Times New Roman" w:cs="Times New Roman" w:eastAsia="Times New Roman" w:hAnsi="Times New Roman"/>
          <w:sz w:val="17"/>
          <w:szCs w:val="17"/>
          <w:color w:val="auto"/>
        </w:rPr>
        <w:t>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in this Registration Statement, modifies or supersedes such prior statement. Any statement contained in this Registration Statement shall be deemed to be modified or superseded to the extent that a statement contained in a subsequently filed document that is or is deemed to be incorporated by reference in this Registration Statement modifies or supersedes such prior statement. Any statement so modified or superseded shall not be deemed, except as so modified or superseded, to constitute a part of this Registration Statement.</w:t>
      </w:r>
    </w:p>
    <w:p>
      <w:pPr>
        <w:spacing w:after="0" w:line="168" w:lineRule="exact"/>
        <w:rPr>
          <w:rFonts w:ascii="Arial" w:cs="Arial" w:eastAsia="Arial" w:hAnsi="Arial"/>
          <w:sz w:val="18"/>
          <w:szCs w:val="18"/>
          <w:b w:val="1"/>
          <w:bCs w:val="1"/>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224" w:lineRule="exact"/>
        <w:rPr>
          <w:rFonts w:ascii="Arial" w:cs="Arial" w:eastAsia="Arial" w:hAnsi="Arial"/>
          <w:sz w:val="18"/>
          <w:szCs w:val="18"/>
          <w:b w:val="1"/>
          <w:bCs w:val="1"/>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p>
      <w:pPr>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ectPr>
          <w:pgSz w:w="11900" w:h="16838" w:orient="portrait"/>
          <w:cols w:equalWidth="0" w:num="1">
            <w:col w:w="10139"/>
          </w:cols>
          <w:pgMar w:left="320" w:top="1106" w:right="1440" w:bottom="1440" w:gutter="0" w:footer="0" w:header="0"/>
        </w:sectPr>
      </w:pP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39"/>
          </w:cols>
          <w:pgMar w:left="320" w:top="1106" w:right="1440" w:bottom="1440" w:gutter="0" w:footer="0" w:header="0"/>
          <w:type w:val="continuous"/>
        </w:sectPr>
      </w:pPr>
    </w:p>
    <w:bookmarkStart w:id="3" w:name="page4"/>
    <w:bookmarkEnd w:id="3"/>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4" w:lineRule="exact"/>
        <w:rPr>
          <w:sz w:val="20"/>
          <w:szCs w:val="20"/>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Eagle Nuclear Energy Corp. is a Nevada corporation (the “Registrant”). The Registrant has adopted amended and restated articles of incorporation (the “Charter”) and amended and restated bylaws (the “Bylaws”). The Charter and the Bylaws provide for indemnification of the Registrant’s officers and directors against liabilities that they may incur acting as an officer or director to the fullest extent not prohibited by Nevada law. A summary of the circumstances for which such indemnification is provided is set forth below, but this description is qualified in its entirety by reference to the Charter and the Bylaws and to the applicable provisions of the Nevada Revised Statutes (“NRS”).</w:t>
      </w:r>
    </w:p>
    <w:p>
      <w:pPr>
        <w:spacing w:after="0" w:line="183" w:lineRule="exact"/>
        <w:rPr>
          <w:sz w:val="20"/>
          <w:szCs w:val="20"/>
          <w:color w:val="auto"/>
        </w:rPr>
      </w:pPr>
    </w:p>
    <w:p>
      <w:pPr>
        <w:jc w:val="both"/>
        <w:ind w:firstLine="321"/>
        <w:spacing w:after="0" w:line="251" w:lineRule="auto"/>
        <w:rPr>
          <w:sz w:val="20"/>
          <w:szCs w:val="20"/>
          <w:color w:val="auto"/>
        </w:rPr>
      </w:pPr>
      <w:r>
        <w:rPr>
          <w:rFonts w:ascii="Times New Roman" w:cs="Times New Roman" w:eastAsia="Times New Roman" w:hAnsi="Times New Roman"/>
          <w:sz w:val="18"/>
          <w:szCs w:val="18"/>
          <w:color w:val="auto"/>
        </w:rPr>
        <w:t>Discretionary indemnification of officers and directors is covered by Section 78.7502 of the NRSI . Section 78.7502(1)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such person: (i) is not liable for a breach of fiduciary duties that involved intentional misconduct, fraud, or a knowing violation of law; or (ii) acted in good faith and in a manner such person reasonably believed to be in or not opposed to the best interests of the corporation, and, with respect to any criminal action or proceeding, had no reasonable cause to believe his or her conduct was unlawful.</w:t>
      </w:r>
    </w:p>
    <w:p>
      <w:pPr>
        <w:spacing w:after="0" w:line="189"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18"/>
          <w:szCs w:val="18"/>
          <w:color w:val="auto"/>
        </w:rPr>
        <w:t>NRS Section 78.7502(2) further provides that a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in connection with the defense or settlement of the action or suit if such person: (i) is not liable for a breach of fiduciary duties that involved intentional misconduct, fraud or a knowing violation of law; or (ii) acted in good faith and in a manner that he or she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93"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NRS Section 78.751 provides that to the extent that a director, officer, employee or agent of a corporation has been successful on the merits or otherwise in defense of any action, suit or proceeding referred to in subsections (1) and (2) of NRS Section 78.7502, as described above, or in defense of any claim, issue or matter therein, the corporation shall indemnify such person against expenses (including attorneys’ fees) actually and reasonably incurred by such person in connection with the defense.</w:t>
      </w:r>
    </w:p>
    <w:p>
      <w:pPr>
        <w:spacing w:after="0" w:line="182"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The Charter provides that subject to any provisions in the Bylaws related to indemnification of directors or officers of the Registrant, the Registrant shall indemnify, to the fullest extent permitted by applicable law (including, without limitation, NRS 78.7502 and 78.751), any director or officer of the Registrant who was or is a party or is threatened to be made a party to any threatened, pending or completed action, suit or proceeding, whether civil, criminal, administrative or investigative, by reason of the fact that he or she is or was a director, officer, employee or agent of the Registrant or is or was serving at the request of the Registrant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419735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 w:name="page5"/>
    <w:bookmarkEnd w:id="4"/>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The Charter provides that the Registrant shall have the power to indemnify, to the extent permitted by the NRS, as it presently exists or may be amended from time to time, any employee or agent of the Registrant who was or is a party or is threatened to be made a party to any threatened, pending or completed action, suit or proceeding, whether civil, criminal, administrative or investigative, by reason of the fact that he or she is or was a director, officer, employee or agent of the Registrant or is or was serving at the request of the Registrant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7" w:lineRule="exact"/>
        <w:rPr>
          <w:sz w:val="20"/>
          <w:szCs w:val="20"/>
          <w:color w:val="auto"/>
        </w:rPr>
      </w:pPr>
    </w:p>
    <w:p>
      <w:pPr>
        <w:jc w:val="both"/>
        <w:ind w:firstLine="321"/>
        <w:spacing w:after="0" w:line="249" w:lineRule="auto"/>
        <w:rPr>
          <w:sz w:val="20"/>
          <w:szCs w:val="20"/>
          <w:color w:val="auto"/>
        </w:rPr>
      </w:pPr>
      <w:r>
        <w:rPr>
          <w:rFonts w:ascii="Times New Roman" w:cs="Times New Roman" w:eastAsia="Times New Roman" w:hAnsi="Times New Roman"/>
          <w:sz w:val="18"/>
          <w:szCs w:val="18"/>
          <w:color w:val="auto"/>
        </w:rPr>
        <w:t>The Bylaws provide that 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 or in the right of the Registrant or otherwise, including any and all appeals, whether of a civil, criminal, administrative, legislative, investigative or other nature (hereinafter a “proceeding”), by reason of the fact that he or she is or was a director or an officer of the Registrant or while a director or an officer of the Registrant is or was serving at the request of the Registrant as a director, officer, manager, employee, agent or trustee of another corporation or of a partnership, limited liability company, joint venture, trust or other enterprise, including service with respect to an employee benefit plan (hereinafter an “indemnitee”), or by reason of anything done or not done by him or her in any such capacity, shall be indemnified and held harmless by the Registrant to the fullest extent authorized by the NRS, as the same exists or may hereafter be amended, against all expense, liability and loss (including attorneys’ fees, judgments, fines, ERISA excise taxes, penalties and amounts paid in settlement by or on behalf of the indemnitee) actually and reasonably incurred by such indemnitee in connection therewith, all on the terms and conditions set forth in the Bylaws; provided, however, that, except as otherwise required by law or provided in the Bylaws with respect to suits to enforce such rights, the Registrant shall indemnify any such indemnitee in connection with a proceeding, or part thereof, voluntarily initiated by such indemnitee (including claims and counterclaims, whether such counterclaims are asserted by: (i) such indemnitee; or (ii) the Registrant in a proceeding initiated by such indemnitee) only if such proceeding, or part thereof, was authorized or ratified by the Registrant’s board of directors (the “Board of Directors”) or the Board of Directors otherwise determines that indemnification or advancement of expenses is appropriate.</w:t>
      </w:r>
    </w:p>
    <w:p>
      <w:pPr>
        <w:spacing w:after="0" w:line="199" w:lineRule="exact"/>
        <w:rPr>
          <w:sz w:val="20"/>
          <w:szCs w:val="20"/>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In addition to the right to indemnification conferred in the Bylaws, an indemnitee shall, to the fullest extent permitted by law, also have the right to be paid by the Registrant the expenses (including attorneys’ fees) incurred in defending any proceeding in advance of its final disposition (hereinafter an “advancement of expenses”); provided, however, that an advancement of expenses shall be made only upon delivery to the Registrant of an undertaking (hereinafter an “undertaking”), by or on behalf of such indemnitee, to repay all amounts so advanced if it shall ultimately be determined by final judicial decision of a court of competent jurisdiction from which there is no further right to appeal (hereinafter a “final adjudication”) that such indemnitee is not entitled to be indemnified for such expenses.</w:t>
      </w:r>
    </w:p>
    <w:p>
      <w:pPr>
        <w:spacing w:after="0" w:line="187"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Notwithstanding the foregoing, the Registrant shall not make or continue to make advancements of expenses to an indemnitee if a determination is reasonably made that the facts known at the time such determination is made demonstrate clearly and convincingly that the indemnitee acted in bad faith or in a manner that the indemnitee did not reasonably believe to be in or not opposed to the best interests of the Registrant, or, with respect to any criminal proceeding, that the indemnitee had reasonable cause to believe his or her conduct was unlawful. Such determination shall be made: (i) by the Board of Directors by a majority vote of directors who are not parties to such proceeding, whether or not such majority constitutes a quorum; (ii) by a committee of such directors designated by a majority vote of such directors, whether or not such majority constitutes a quorum; or (iii) if there are no such directors, or if such directors so direct, by independent legal counsel in a written opinion to the Board of Directors, a copy of which shall be delivered to the indemnitee.</w:t>
      </w:r>
    </w:p>
    <w:p>
      <w:pPr>
        <w:spacing w:after="0" w:line="189"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To the extent that an indemnitee has been successful on the merits or otherwise in defense of any proceeding (or in defense of any claim, issue or matter therein), such indemnitee shall be indemnified against expenses (including attorneys’ fees) actually and reasonably incurred in connection with such defense. Indemnification in such circumstance shall not be subject to satisfaction of a standard of conduct, and the Registrant may not assert the failure to satisfy a standard of conduct as a basis to deny indemnification or recover amounts advanced.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 w:name="page6"/>
    <w:bookmarkEnd w:id="5"/>
    <w:p>
      <w:pPr>
        <w:jc w:val="both"/>
        <w:ind w:firstLine="321"/>
        <w:spacing w:after="0" w:line="249" w:lineRule="auto"/>
        <w:rPr>
          <w:sz w:val="20"/>
          <w:szCs w:val="20"/>
          <w:color w:val="auto"/>
        </w:rPr>
      </w:pPr>
      <w:r>
        <w:rPr>
          <w:rFonts w:ascii="Times New Roman" w:cs="Times New Roman" w:eastAsia="Times New Roman" w:hAnsi="Times New Roman"/>
          <w:sz w:val="18"/>
          <w:szCs w:val="18"/>
          <w:color w:val="auto"/>
        </w:rPr>
        <w:t>If a proper request for indemnification is not paid in full by the Registrant within 60 days, or if a proper request for an advancement of expenses is not paid in full by the Registrant within 20 days, after a written request has been received by the secretary of the Registrant, the indemnitee may at any time thereafter bring suit against the Registrant in a court of competent jurisdiction in the State of Nevada seeking an adjudication of entitlement to such indemnification or advancement of expenses. If successful in whole or in part in any such suit, or in a suit brought by the Registrant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under the Bylaws it shall be a defense that the indemnitee has not met any applicable standard of conduct for indemnification set forth in NRS 78.7502 or 78.751, as applicable. Further, in any suit brought by the Registrant to recover an advancement of expenses pursuant to the terms of an undertaking, the Registrant shall be entitled to recover such expenses upon a final adjudication that the indemnitee has not met any applicable standard of conduct for indemnification set forth in NRS 78.751. Neither the failure of the Registrant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any applicable standard of conduct, nor an actual determination by the Registrant (including its directors who are not parties to such action, a committee of such directors, independent legal counsel or its stockholders) that the indemnitee has not met any such applicable standard of conduct, shall create a presumption that the indemnitee has not met such applicable standard(s) of conduct or, in the case of such a suit brought by the indemnitee, be a defense to such suit. In any suit brought by the indemnitee to enforce a right to indemnification or to an advancement of expenses, or brought by the Registrant to recover an advancement of expenses pursuant to the terms of an undertaking, the burden of proving that the indemnitee is not entitled to be indemnified, or to such advancement of expenses, under applicable law, shall be on the Registrant.</w:t>
      </w:r>
    </w:p>
    <w:p>
      <w:pPr>
        <w:spacing w:after="0" w:line="196"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The rights to indemnification and to the advancement of expenses conferred in the Bylaws is not exclusive of any other right that any person may have or acquire under any law, agreement, vote of stockholders or disinterested directors, provisions of the Charter, Bylaws, or otherwise.</w:t>
      </w:r>
    </w:p>
    <w:p>
      <w:pPr>
        <w:spacing w:after="0" w:line="163"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jc w:val="both"/>
        <w:ind w:firstLine="321"/>
        <w:spacing w:after="0" w:line="257" w:lineRule="auto"/>
        <w:rPr>
          <w:sz w:val="20"/>
          <w:szCs w:val="20"/>
          <w:color w:val="auto"/>
        </w:rPr>
      </w:pPr>
      <w:r>
        <w:rPr>
          <w:rFonts w:ascii="Times New Roman" w:cs="Times New Roman" w:eastAsia="Times New Roman" w:hAnsi="Times New Roman"/>
          <w:sz w:val="18"/>
          <w:szCs w:val="18"/>
          <w:color w:val="auto"/>
        </w:rPr>
        <w:t>The Registrant has entered into customary indemnification agreements its directors and executive officers. These agreements require the Registrant to indemnify these individuals to the fullest extent permitted under Nevada law against liabilities that may arise by reason of their service to the Registrant, and to advance expenses incurred as a result of any proceeding against them as to which they could be indemnified. The Registrant also intends to enter into indemnification agreements with future directors and executive officers.</w:t>
      </w:r>
    </w:p>
    <w:p>
      <w:pPr>
        <w:spacing w:after="0" w:line="17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211" w:lineRule="exact"/>
        <w:rPr>
          <w:sz w:val="20"/>
          <w:szCs w:val="20"/>
          <w:color w:val="auto"/>
        </w:rPr>
      </w:pPr>
    </w:p>
    <w:p>
      <w:pPr>
        <w:sectPr>
          <w:pgSz w:w="11900" w:h="16838" w:orient="portrait"/>
          <w:cols w:equalWidth="0" w:num="2">
            <w:col w:w="560" w:space="720"/>
            <w:col w:w="9960"/>
          </w:cols>
          <w:pgMar w:left="320" w:top="892" w:right="339" w:bottom="1440" w:gutter="0" w:footer="0" w:header="0"/>
        </w:sectPr>
      </w:pP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exhibits are filed as part of this Registration Statement:</w:t>
      </w:r>
    </w:p>
    <w:p>
      <w:pPr>
        <w:sectPr>
          <w:pgSz w:w="11900" w:h="16838" w:orient="portrait"/>
          <w:cols w:equalWidth="0" w:num="1">
            <w:col w:w="11240"/>
          </w:cols>
          <w:pgMar w:left="320" w:top="892" w:right="339" w:bottom="1440" w:gutter="0" w:footer="0" w:header="0"/>
          <w:type w:val="continuous"/>
        </w:sectPr>
      </w:pPr>
    </w:p>
    <w:p>
      <w:pPr>
        <w:spacing w:after="0" w:line="228"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41"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jc w:val="center"/>
        <w:ind w:right="486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34" w:lineRule="exact"/>
        <w:rPr>
          <w:sz w:val="20"/>
          <w:szCs w:val="20"/>
          <w:color w:val="auto"/>
        </w:rPr>
      </w:pPr>
    </w:p>
    <w:p>
      <w:pPr>
        <w:sectPr>
          <w:pgSz w:w="11900" w:h="16838" w:orient="portrait"/>
          <w:cols w:equalWidth="0" w:num="2">
            <w:col w:w="4780" w:space="720"/>
            <w:col w:w="5740"/>
          </w:cols>
          <w:pgMar w:left="320" w:top="892" w:right="339" w:bottom="1440" w:gutter="0" w:footer="0" w:header="0"/>
          <w:type w:val="continuous"/>
        </w:sectPr>
      </w:pPr>
    </w:p>
    <w:p>
      <w:pPr>
        <w:spacing w:after="0" w:line="2" w:lineRule="exact"/>
        <w:rPr>
          <w:sz w:val="20"/>
          <w:szCs w:val="20"/>
          <w:color w:val="auto"/>
        </w:rPr>
      </w:pPr>
    </w:p>
    <w:p>
      <w:pPr>
        <w:ind w:left="640" w:hanging="627"/>
        <w:spacing w:after="0" w:line="277" w:lineRule="auto"/>
        <w:tabs>
          <w:tab w:leader="none" w:pos="620" w:val="left"/>
        </w:tabs>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23">
        <w:r>
          <w:rPr>
            <w:rFonts w:ascii="Times New Roman" w:cs="Times New Roman" w:eastAsia="Times New Roman" w:hAnsi="Times New Roman"/>
            <w:sz w:val="18"/>
            <w:szCs w:val="18"/>
            <w:u w:val="single" w:color="auto"/>
            <w:color w:val="0000EE"/>
          </w:rPr>
          <w:t>Amended and Restated Articles of Incorporation of Eagle Nuclear Energy Corp. (incorporated by reference to Exhibit 3.1 to the Current Report on</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Form 8-K filed by Eagle Nuclear Energy Corp. with the SEC on March 2, 2026).</w:t>
        </w:r>
      </w:hyperlink>
    </w:p>
    <w:p>
      <w:pPr>
        <w:spacing w:after="0" w:line="163" w:lineRule="exact"/>
        <w:rPr>
          <w:rFonts w:ascii="Times New Roman" w:cs="Times New Roman" w:eastAsia="Times New Roman" w:hAnsi="Times New Roman"/>
          <w:sz w:val="18"/>
          <w:szCs w:val="18"/>
          <w:u w:val="single" w:color="auto"/>
          <w:color w:val="0000EE"/>
        </w:rPr>
      </w:pPr>
    </w:p>
    <w:p>
      <w:pPr>
        <w:ind w:left="640" w:hanging="627"/>
        <w:spacing w:after="0" w:line="277" w:lineRule="auto"/>
        <w:tabs>
          <w:tab w:leader="none" w:pos="620" w:val="left"/>
        </w:tabs>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24">
        <w:r>
          <w:rPr>
            <w:rFonts w:ascii="Times New Roman" w:cs="Times New Roman" w:eastAsia="Times New Roman" w:hAnsi="Times New Roman"/>
            <w:sz w:val="18"/>
            <w:szCs w:val="18"/>
            <w:u w:val="single" w:color="auto"/>
            <w:color w:val="0000EE"/>
          </w:rPr>
          <w:t>Amended and Restated By-Laws of Eagle Nuclear Energy Corp. (incorporated by reference to Exhibit 3.2 to the Current Report on Form 8-K filed</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by Eagle Nuclear Energy Corp. with the SEC on March 2, 2026).</w:t>
        </w:r>
      </w:hyperlink>
    </w:p>
    <w:p>
      <w:pPr>
        <w:spacing w:after="0" w:line="163" w:lineRule="exact"/>
        <w:rPr>
          <w:rFonts w:ascii="Times New Roman" w:cs="Times New Roman" w:eastAsia="Times New Roman" w:hAnsi="Times New Roman"/>
          <w:sz w:val="18"/>
          <w:szCs w:val="18"/>
          <w:u w:val="single" w:color="auto"/>
          <w:color w:val="0000EE"/>
        </w:rPr>
      </w:pPr>
    </w:p>
    <w:p>
      <w:pPr>
        <w:ind w:left="640" w:hanging="627"/>
        <w:spacing w:after="0" w:line="308" w:lineRule="auto"/>
        <w:tabs>
          <w:tab w:leader="none" w:pos="620" w:val="left"/>
        </w:tabs>
        <w:rPr>
          <w:rFonts w:ascii="Times New Roman" w:cs="Times New Roman" w:eastAsia="Times New Roman" w:hAnsi="Times New Roman"/>
          <w:sz w:val="17"/>
          <w:szCs w:val="17"/>
          <w:u w:val="single" w:color="auto"/>
          <w:color w:val="0000EE"/>
        </w:rPr>
      </w:pPr>
      <w:hyperlink r:id="rId25">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25">
        <w:r>
          <w:rPr>
            <w:rFonts w:ascii="Times New Roman" w:cs="Times New Roman" w:eastAsia="Times New Roman" w:hAnsi="Times New Roman"/>
            <w:sz w:val="17"/>
            <w:szCs w:val="17"/>
            <w:u w:val="single" w:color="auto"/>
            <w:color w:val="0000EE"/>
          </w:rPr>
          <w:t>Amended and Restated Certificate of Designation of Series A Cumulative Convertible Preferred Stock of Eagle Nuclear Energy Corp. (incorporated</w:t>
        </w:r>
      </w:hyperlink>
      <w:r>
        <w:rPr>
          <w:rFonts w:ascii="Times New Roman" w:cs="Times New Roman" w:eastAsia="Times New Roman" w:hAnsi="Times New Roman"/>
          <w:sz w:val="17"/>
          <w:szCs w:val="17"/>
          <w:u w:val="single" w:color="auto"/>
          <w:color w:val="0000EE"/>
        </w:rPr>
        <w:t xml:space="preserve"> </w:t>
      </w:r>
      <w:hyperlink r:id="rId25">
        <w:r>
          <w:rPr>
            <w:rFonts w:ascii="Times New Roman" w:cs="Times New Roman" w:eastAsia="Times New Roman" w:hAnsi="Times New Roman"/>
            <w:sz w:val="17"/>
            <w:szCs w:val="17"/>
            <w:u w:val="single" w:color="auto"/>
            <w:color w:val="0000EE"/>
          </w:rPr>
          <w:t>by reference to Exhibit 3.3 to the Current Report on Form 8-K filed by Eagle Nuclear Energy Corp. with the SEC on March 2, 2026).</w:t>
        </w:r>
      </w:hyperlink>
    </w:p>
    <w:p>
      <w:pPr>
        <w:spacing w:after="0" w:line="139" w:lineRule="exact"/>
        <w:rPr>
          <w:rFonts w:ascii="Times New Roman" w:cs="Times New Roman" w:eastAsia="Times New Roman" w:hAnsi="Times New Roman"/>
          <w:sz w:val="18"/>
          <w:szCs w:val="18"/>
          <w:u w:val="single" w:color="auto"/>
          <w:color w:val="0000EE"/>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Nelson Mullins Riley &amp; Scarborough LLP as to the legality of the securities being registered that constitute original issue shares.</w:t>
      </w:r>
    </w:p>
    <w:p>
      <w:pPr>
        <w:spacing w:after="0" w:line="220" w:lineRule="exact"/>
        <w:rPr>
          <w:rFonts w:ascii="Times New Roman" w:cs="Times New Roman" w:eastAsia="Times New Roman" w:hAnsi="Times New Roman"/>
          <w:sz w:val="18"/>
          <w:szCs w:val="18"/>
          <w:u w:val="single" w:color="auto"/>
          <w:color w:val="0000EE"/>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Adeptus Partners, LLC (with respect to Eagle Energy Metals Corp).</w:t>
      </w:r>
    </w:p>
    <w:p>
      <w:pPr>
        <w:spacing w:after="0" w:line="220" w:lineRule="exact"/>
        <w:rPr>
          <w:rFonts w:ascii="Times New Roman" w:cs="Times New Roman" w:eastAsia="Times New Roman" w:hAnsi="Times New Roman"/>
          <w:sz w:val="18"/>
          <w:szCs w:val="18"/>
          <w:u w:val="single" w:color="auto"/>
          <w:color w:val="0000EE"/>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u w:val="single" w:color="auto"/>
          <w:color w:val="0000EE"/>
        </w:rPr>
        <w:t>Consent of Adeptus Partners, LLC (with respect to Oregon Energy LLC).</w:t>
      </w:r>
    </w:p>
    <w:p>
      <w:pPr>
        <w:spacing w:after="0" w:line="220" w:lineRule="exact"/>
        <w:rPr>
          <w:rFonts w:ascii="Times New Roman" w:cs="Times New Roman" w:eastAsia="Times New Roman" w:hAnsi="Times New Roman"/>
          <w:sz w:val="18"/>
          <w:szCs w:val="18"/>
          <w:u w:val="single" w:color="auto"/>
          <w:color w:val="0000EE"/>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23.3*</w:t>
      </w:r>
      <w:r>
        <w:rPr>
          <w:sz w:val="20"/>
          <w:szCs w:val="20"/>
          <w:color w:val="auto"/>
        </w:rPr>
        <w:tab/>
      </w:r>
      <w:r>
        <w:rPr>
          <w:rFonts w:ascii="Times New Roman" w:cs="Times New Roman" w:eastAsia="Times New Roman" w:hAnsi="Times New Roman"/>
          <w:sz w:val="17"/>
          <w:szCs w:val="17"/>
          <w:u w:val="single" w:color="auto"/>
          <w:color w:val="0000EE"/>
        </w:rPr>
        <w:t>Consent of Nelson Mullins Riley &amp; Scarborough LLP (included as part of Exhibit 5.1).</w:t>
      </w:r>
    </w:p>
    <w:p>
      <w:pPr>
        <w:spacing w:after="0" w:line="220" w:lineRule="exact"/>
        <w:rPr>
          <w:rFonts w:ascii="Times New Roman" w:cs="Times New Roman" w:eastAsia="Times New Roman" w:hAnsi="Times New Roman"/>
          <w:sz w:val="18"/>
          <w:szCs w:val="18"/>
          <w:u w:val="single" w:color="auto"/>
          <w:color w:val="0000EE"/>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w:t>
      </w:r>
    </w:p>
    <w:p>
      <w:pPr>
        <w:spacing w:after="0" w:line="220" w:lineRule="exact"/>
        <w:rPr>
          <w:rFonts w:ascii="Times New Roman" w:cs="Times New Roman" w:eastAsia="Times New Roman" w:hAnsi="Times New Roman"/>
          <w:sz w:val="18"/>
          <w:szCs w:val="18"/>
          <w:u w:val="single" w:color="auto"/>
          <w:color w:val="0000EE"/>
        </w:rPr>
      </w:pPr>
    </w:p>
    <w:p>
      <w:pPr>
        <w:ind w:left="640" w:hanging="627"/>
        <w:spacing w:after="0" w:line="277" w:lineRule="auto"/>
        <w:tabs>
          <w:tab w:leader="none" w:pos="620" w:val="left"/>
        </w:tabs>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r:id="rId26">
        <w:r>
          <w:rPr>
            <w:rFonts w:ascii="Times New Roman" w:cs="Times New Roman" w:eastAsia="Times New Roman" w:hAnsi="Times New Roman"/>
            <w:sz w:val="18"/>
            <w:szCs w:val="18"/>
            <w:u w:val="single" w:color="auto"/>
            <w:color w:val="0000EE"/>
          </w:rPr>
          <w:t>Eagle Nuclear Energy Corp. 2025 Equity Incentive Plan (incorporated by reference to Exhibit 10.3 to the Current Report on Form 8-K filed by</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Eagle Nuclear Energy Corp. with the SEC on March 2, 2026).</w:t>
        </w:r>
      </w:hyperlink>
    </w:p>
    <w:p>
      <w:pPr>
        <w:spacing w:after="0" w:line="163" w:lineRule="exact"/>
        <w:rPr>
          <w:rFonts w:ascii="Times New Roman" w:cs="Times New Roman" w:eastAsia="Times New Roman" w:hAnsi="Times New Roman"/>
          <w:sz w:val="18"/>
          <w:szCs w:val="18"/>
          <w:u w:val="single" w:color="auto"/>
          <w:color w:val="0000EE"/>
        </w:rPr>
      </w:pPr>
    </w:p>
    <w:p>
      <w:pPr>
        <w:ind w:left="640" w:hanging="627"/>
        <w:spacing w:after="0" w:line="277" w:lineRule="auto"/>
        <w:tabs>
          <w:tab w:leader="none" w:pos="620" w:val="left"/>
        </w:tabs>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99.2+</w:t>
        </w:r>
      </w:hyperlink>
      <w:r>
        <w:rPr>
          <w:rFonts w:ascii="Times New Roman" w:cs="Times New Roman" w:eastAsia="Times New Roman" w:hAnsi="Times New Roman"/>
          <w:sz w:val="18"/>
          <w:szCs w:val="18"/>
          <w:u w:val="single" w:color="auto"/>
          <w:color w:val="0000EE"/>
        </w:rPr>
        <w:tab/>
      </w:r>
      <w:hyperlink r:id="rId27">
        <w:r>
          <w:rPr>
            <w:rFonts w:ascii="Times New Roman" w:cs="Times New Roman" w:eastAsia="Times New Roman" w:hAnsi="Times New Roman"/>
            <w:sz w:val="18"/>
            <w:szCs w:val="18"/>
            <w:u w:val="single" w:color="auto"/>
            <w:color w:val="0000EE"/>
          </w:rPr>
          <w:t>Form of Option Award Agreement (incorporated by reference to Exhibit 10.4 to the Current Report on Form 8-K filed by Eagle Nuclear Energy</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Corp. with the SEC on March 2, 2026).</w:t>
        </w:r>
      </w:hyperlink>
    </w:p>
    <w:p>
      <w:pPr>
        <w:spacing w:after="0" w:line="163" w:lineRule="exact"/>
        <w:rPr>
          <w:rFonts w:ascii="Times New Roman" w:cs="Times New Roman" w:eastAsia="Times New Roman" w:hAnsi="Times New Roman"/>
          <w:sz w:val="18"/>
          <w:szCs w:val="18"/>
          <w:u w:val="single" w:color="auto"/>
          <w:color w:val="0000EE"/>
        </w:rPr>
      </w:pPr>
    </w:p>
    <w:p>
      <w:pPr>
        <w:spacing w:after="0"/>
        <w:tabs>
          <w:tab w:leader="none" w:pos="620" w:val="left"/>
        </w:tabs>
        <w:rPr>
          <w:rFonts w:ascii="Times New Roman" w:cs="Times New Roman" w:eastAsia="Times New Roman" w:hAnsi="Times New Roman"/>
          <w:sz w:val="17"/>
          <w:szCs w:val="17"/>
          <w:u w:val="single" w:color="auto"/>
          <w:color w:val="0000EE"/>
        </w:rPr>
      </w:pPr>
      <w:hyperlink r:id="rId28">
        <w:r>
          <w:rPr>
            <w:rFonts w:ascii="Times New Roman" w:cs="Times New Roman" w:eastAsia="Times New Roman" w:hAnsi="Times New Roman"/>
            <w:sz w:val="18"/>
            <w:szCs w:val="18"/>
            <w:u w:val="single" w:color="auto"/>
            <w:color w:val="0000EE"/>
          </w:rPr>
          <w:t>99.3+</w:t>
        </w:r>
      </w:hyperlink>
      <w:r>
        <w:rPr>
          <w:rFonts w:ascii="Times New Roman" w:cs="Times New Roman" w:eastAsia="Times New Roman" w:hAnsi="Times New Roman"/>
          <w:sz w:val="18"/>
          <w:szCs w:val="18"/>
          <w:u w:val="single" w:color="auto"/>
          <w:color w:val="0000EE"/>
        </w:rPr>
        <w:tab/>
      </w:r>
      <w:hyperlink r:id="rId28">
        <w:r>
          <w:rPr>
            <w:rFonts w:ascii="Times New Roman" w:cs="Times New Roman" w:eastAsia="Times New Roman" w:hAnsi="Times New Roman"/>
            <w:sz w:val="17"/>
            <w:szCs w:val="17"/>
            <w:u w:val="single" w:color="auto"/>
            <w:color w:val="0000EE"/>
          </w:rPr>
          <w:t>Form of RSU Award Agreement (incorporated by reference to Exhibit 10.5 to the Current Report on Form 8-K filed by Eagle Nuclear Energy Corp.</w:t>
        </w:r>
      </w:hyperlink>
    </w:p>
    <w:p>
      <w:pPr>
        <w:spacing w:after="0" w:line="26" w:lineRule="exact"/>
        <w:rPr>
          <w:sz w:val="20"/>
          <w:szCs w:val="20"/>
          <w:color w:val="auto"/>
        </w:rPr>
      </w:pPr>
    </w:p>
    <w:p>
      <w:pPr>
        <w:ind w:left="640"/>
        <w:spacing w:after="0"/>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with the SEC on March 2, 2026).</w:t>
        </w:r>
      </w:hyperlink>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contract or arrangement.</w:t>
      </w:r>
    </w:p>
    <w:p>
      <w:pPr>
        <w:spacing w:after="0" w:line="19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Registrant hereby undertakes:</w:t>
      </w:r>
    </w:p>
    <w:p>
      <w:pPr>
        <w:spacing w:after="0" w:line="220" w:lineRule="exact"/>
        <w:rPr>
          <w:sz w:val="20"/>
          <w:szCs w:val="20"/>
          <w:color w:val="auto"/>
        </w:rPr>
      </w:pPr>
    </w:p>
    <w:p>
      <w:pPr>
        <w:ind w:left="260" w:hanging="253"/>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0" w:lineRule="exact"/>
        <w:rPr>
          <w:sz w:val="20"/>
          <w:szCs w:val="20"/>
          <w:color w:val="auto"/>
        </w:rPr>
      </w:pPr>
    </w:p>
    <w:p>
      <w:pPr>
        <w:jc w:val="both"/>
        <w:ind w:firstLine="7"/>
        <w:spacing w:after="0" w:line="253" w:lineRule="auto"/>
        <w:tabs>
          <w:tab w:leader="none" w:pos="2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 table in the effective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418465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type w:val="continuous"/>
        </w:sectPr>
      </w:pPr>
    </w:p>
    <w:bookmarkStart w:id="7" w:name="page8"/>
    <w:bookmarkEnd w:id="7"/>
    <w:p>
      <w:pPr>
        <w:ind w:firstLine="7"/>
        <w:spacing w:after="0" w:line="277" w:lineRule="auto"/>
        <w:tabs>
          <w:tab w:leader="none" w:pos="3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ind w:right="20" w:firstLine="7"/>
        <w:spacing w:after="0" w:line="308" w:lineRule="auto"/>
        <w:tabs>
          <w:tab w:leader="none" w:pos="2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39" w:lineRule="exact"/>
        <w:rPr>
          <w:rFonts w:ascii="Times New Roman" w:cs="Times New Roman" w:eastAsia="Times New Roman" w:hAnsi="Times New Roman"/>
          <w:sz w:val="17"/>
          <w:szCs w:val="17"/>
          <w:color w:val="auto"/>
        </w:rPr>
      </w:pPr>
    </w:p>
    <w:p>
      <w:pPr>
        <w:ind w:right="20" w:firstLine="7"/>
        <w:spacing w:after="0" w:line="277"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post-effective amendment any of the securities being registered which remain unsold at the termination of the offering.</w:t>
      </w:r>
    </w:p>
    <w:p>
      <w:pPr>
        <w:spacing w:after="0" w:line="163" w:lineRule="exact"/>
        <w:rPr>
          <w:sz w:val="20"/>
          <w:szCs w:val="20"/>
          <w:color w:val="auto"/>
        </w:rPr>
      </w:pPr>
    </w:p>
    <w:p>
      <w:pPr>
        <w:jc w:val="both"/>
        <w:ind w:firstLine="7"/>
        <w:spacing w:after="0" w:line="257"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2" w:lineRule="exact"/>
        <w:rPr>
          <w:rFonts w:ascii="Times New Roman" w:cs="Times New Roman" w:eastAsia="Times New Roman" w:hAnsi="Times New Roman"/>
          <w:sz w:val="18"/>
          <w:szCs w:val="18"/>
          <w:color w:val="auto"/>
        </w:rPr>
      </w:pPr>
    </w:p>
    <w:p>
      <w:pPr>
        <w:jc w:val="both"/>
        <w:ind w:firstLine="7"/>
        <w:spacing w:after="0" w:line="252"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419735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Reno, State of Nevada, on May 1, 2026.</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EAGLE NUCLEAR ENERGY CORP.</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Manavdeep Mukhija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15875</wp:posOffset>
            </wp:positionV>
            <wp:extent cx="3350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Manavdeep Mukhija</w:t>
      </w:r>
    </w:p>
    <w:p>
      <w:pPr>
        <w:spacing w:after="0" w:line="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 and Chairman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We, the undersigned officers and directors of Eagle Nuclear Energy Corp., hereby, severally constitute and appoint each of Manavdeep Mukhija and Ajaypreet Toor as our true and lawful attorney-in-fact and agent, with full power of substitution and re-substitution, in any and all capacities, to sign this Registration Statement on Form S-8 and any and all amendments (including post-effective amendments) to this Registration Statement on Form S-8, and to file the same with all exhibits thereto and other documents in connection therewith, with the Securities and Exchange Commission, granting unto such attorney-in-fact and agent, full power and authority to do and perform each and every act and thing requisite and necessary to be done, as fully to all intents and purposes as she/he might or could do in person, hereby ratifying and confirming all that such attorney-in-fact and agent, or her/his substitute or substitutes, may lawfully do or cause to be done by virtue hereof.</w:t>
      </w:r>
    </w:p>
    <w:p>
      <w:pPr>
        <w:spacing w:after="0" w:line="189"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33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48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7"/>
        </w:trPr>
        <w:tc>
          <w:tcPr>
            <w:tcW w:w="20" w:type="dxa"/>
            <w:vAlign w:val="bottom"/>
            <w:tcBorders>
              <w:bottom w:val="single" w:sz="8" w:color="auto"/>
            </w:tcBorders>
          </w:tcPr>
          <w:p>
            <w:pPr>
              <w:spacing w:after="0"/>
              <w:rPr>
                <w:sz w:val="18"/>
                <w:szCs w:val="18"/>
                <w:color w:val="auto"/>
              </w:rPr>
            </w:pPr>
          </w:p>
        </w:tc>
        <w:tc>
          <w:tcPr>
            <w:tcW w:w="3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Manavdeep Mukhija</w:t>
            </w:r>
          </w:p>
        </w:tc>
        <w:tc>
          <w:tcPr>
            <w:tcW w:w="120" w:type="dxa"/>
            <w:vAlign w:val="bottom"/>
          </w:tcPr>
          <w:p>
            <w:pPr>
              <w:spacing w:after="0"/>
              <w:rPr>
                <w:sz w:val="18"/>
                <w:szCs w:val="18"/>
                <w:color w:val="auto"/>
              </w:rPr>
            </w:pPr>
          </w:p>
        </w:tc>
        <w:tc>
          <w:tcPr>
            <w:tcW w:w="4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00" w:type="dxa"/>
            <w:vAlign w:val="bottom"/>
          </w:tcPr>
          <w:p>
            <w:pPr>
              <w:spacing w:after="0"/>
              <w:rPr>
                <w:sz w:val="18"/>
                <w:szCs w:val="18"/>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Manavdeep Mukhija</w:t>
            </w:r>
          </w:p>
        </w:tc>
        <w:tc>
          <w:tcPr>
            <w:tcW w:w="1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920" w:type="dxa"/>
            <w:vAlign w:val="bottom"/>
          </w:tcPr>
          <w:p>
            <w:pPr>
              <w:spacing w:after="0"/>
              <w:rPr>
                <w:sz w:val="19"/>
                <w:szCs w:val="19"/>
                <w:color w:val="auto"/>
              </w:rPr>
            </w:pPr>
          </w:p>
        </w:tc>
      </w:tr>
      <w:tr>
        <w:trPr>
          <w:trHeight w:val="409"/>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Ajaypreet Toor</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Ajaypreet Toor</w:t>
            </w:r>
          </w:p>
        </w:tc>
        <w:tc>
          <w:tcPr>
            <w:tcW w:w="1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2920" w:type="dxa"/>
            <w:vAlign w:val="bottom"/>
          </w:tcPr>
          <w:p>
            <w:pPr>
              <w:spacing w:after="0"/>
              <w:rPr>
                <w:sz w:val="19"/>
                <w:szCs w:val="19"/>
                <w:color w:val="auto"/>
              </w:rPr>
            </w:pPr>
          </w:p>
        </w:tc>
      </w:tr>
      <w:tr>
        <w:trPr>
          <w:trHeight w:val="409"/>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Michael Kobler</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09"/>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Kaplan</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Kaplan</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09"/>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Brian Goldmeier</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Goldmeier</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09"/>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Jeffrey Lipton</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Lipton</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09"/>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Kuljit Basi</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r>
      <w:tr>
        <w:trPr>
          <w:trHeight w:val="22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Kuljit Basi</w:t>
            </w:r>
          </w:p>
        </w:tc>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649"/>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9" w:name="page10"/>
    <w:bookmarkEnd w:id="9"/>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62" w:lineRule="exact"/>
        <w:rPr>
          <w:sz w:val="20"/>
          <w:szCs w:val="20"/>
          <w:color w:val="auto"/>
        </w:rPr>
      </w:pPr>
    </w:p>
    <w:p>
      <w:pPr>
        <w:ind w:left="6320" w:right="680"/>
        <w:spacing w:after="0" w:line="282" w:lineRule="auto"/>
        <w:rPr>
          <w:sz w:val="20"/>
          <w:szCs w:val="20"/>
          <w:color w:val="auto"/>
        </w:rPr>
      </w:pPr>
      <w:r>
        <w:rPr>
          <w:rFonts w:ascii="Times New Roman" w:cs="Times New Roman" w:eastAsia="Times New Roman" w:hAnsi="Times New Roman"/>
          <w:sz w:val="18"/>
          <w:szCs w:val="18"/>
          <w:b w:val="1"/>
          <w:bCs w:val="1"/>
          <w:color w:val="auto"/>
        </w:rPr>
        <w:t>NELSON MULLINS RILEY &amp; SCARBOROUGH LLP ATTORNEYS AND COUNSELORS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-294005</wp:posOffset>
            </wp:positionV>
            <wp:extent cx="2137410" cy="245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2137410" cy="245745"/>
                    </a:xfrm>
                    <a:prstGeom prst="rect">
                      <a:avLst/>
                    </a:prstGeom>
                    <a:noFill/>
                  </pic:spPr>
                </pic:pic>
              </a:graphicData>
            </a:graphic>
          </wp:anchor>
        </w:drawing>
      </w:r>
    </w:p>
    <w:p>
      <w:pPr>
        <w:spacing w:after="0" w:line="16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1 McPherson Building</w:t>
      </w:r>
    </w:p>
    <w:p>
      <w:pPr>
        <w:spacing w:after="0" w:line="3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901 15th St NW | Suite 1200</w:t>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Washington, DC 20005</w:t>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T 202.712.2800 F 202.712.2860</w:t>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nelsonmullins.com</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Eagle Nuclear Energy Corp.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5470 Kietzke Lane, Suite 300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 89511</w:t>
      </w:r>
    </w:p>
    <w:p>
      <w:pPr>
        <w:spacing w:after="0" w:line="20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S-8 in connection with the Eagle Nuclear Energy Corp. 2025 Equity Incentive Plan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We have acted as counsel to Eagle Nuclear Energy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by the Company on or about May 1, 2026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of 1933, as amended, related to the offering of up to an aggregate of 5,937,008 shares of the Company’s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consisting of (i) up to 4,437,008 shares of Common Stock, issuable under the Eagle Nuclear Energy Corp. 2025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(ii) up to 1,500,000 shares of Common Stock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reserved for future issuance under the Plan to be used solely and exclusively for the grant of Common Stock pursuant to the earnout provisions of the Amended and Restated Agreement and Plan of Merger, dated as of September 29, 2025 (as it may be amended, supplemented, or otherwise modified from time to time,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Spring Valley Acquisition Corp. II, the Company, Spring Valley Merger Sub III, Inc., a wholly owned, direct subsidiary of the Company, Spring Valley Merger Sub II, Inc., a wholly owned, direct subsidiary of the Company, and Eagle Energy Metals Corp. This opinion letter is furnished pursuant to the requirement of Item 601(b)(5) of Regulation S-K promulgated by the SEC.</w:t>
      </w:r>
    </w:p>
    <w:p>
      <w:pPr>
        <w:spacing w:after="0" w:line="186"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In reaching the opinions set forth herein, we have examined and are familiar with originals or copies, certified or otherwise identified to our satisfaction, of such documents and records of the Company and such statutes, regulations and other instruments, certificates and records as we deem necessary or advisable for the purposes of this opinion letter, including, without limitation, the Plan, the Company’s Amended and Restated Articles of Incorporation, as amended, and Amended and Restated Bylaws and certain resolutions adopted by the Company’s board of directors.</w:t>
      </w:r>
    </w:p>
    <w:p>
      <w:pPr>
        <w:spacing w:after="0" w:line="182"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17"/>
          <w:szCs w:val="17"/>
          <w:color w:val="auto"/>
        </w:rPr>
        <w:t>As to any facts material to our opinions, we have made no independent investigation or verification of such facts and have relied, to the extent that we deem such reliance proper, on certificates and oral or written statements and other information of or from officers and representatives of the Company and public officials and on factual information included in the Company’s filings with the SEC. We have assumed the completeness and authenticity of all documents submitted to us as originals, the completeness and conformity to the originals of all documents submitted to us as copies thereof, the genuineness of all signatures, the legal capacity and mental competence of natural persons, and that all information contained in all documents reviewed by us is true, correct and complete. In addition, we have assumed that the Shares will be issued in accordance with the Plan (and, with respect to the Earnout Shares, the Merger Agreement), and that the Company will receive legal consideration for the issuance of the Shares (in an amount not less than the par value thereof).</w:t>
      </w:r>
    </w:p>
    <w:p>
      <w:pPr>
        <w:spacing w:after="0" w:line="17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On the basis of the foregoing, and subject to the foregoing qualifications, assumptions and limitations and the further limitations set forth below, we are of the opinion that the Shares that may be issued and sold from time to time in accordance with the Plan have been duly authorized and, when issued and delivered in accordance with the Plan (and, with respect to the Earnout Shares, the Merger Agreement), the Shares will be validly issued, fully paid and nonassessable.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alifornia</w:t>
      </w:r>
      <w:r>
        <w:rPr>
          <w:rFonts w:ascii="Times New Roman" w:cs="Times New Roman" w:eastAsia="Times New Roman" w:hAnsi="Times New Roman"/>
          <w:sz w:val="18"/>
          <w:szCs w:val="18"/>
          <w:b w:val="1"/>
          <w:bCs w:val="1"/>
          <w:color w:val="auto"/>
        </w:rPr>
        <w:t xml:space="preserve"> | C</w:t>
      </w:r>
      <w:r>
        <w:rPr>
          <w:rFonts w:ascii="Times New Roman" w:cs="Times New Roman" w:eastAsia="Times New Roman" w:hAnsi="Times New Roman"/>
          <w:sz w:val="12"/>
          <w:szCs w:val="12"/>
          <w:b w:val="1"/>
          <w:bCs w:val="1"/>
          <w:color w:val="auto"/>
        </w:rPr>
        <w:t>olorado</w:t>
      </w:r>
      <w:r>
        <w:rPr>
          <w:rFonts w:ascii="Times New Roman" w:cs="Times New Roman" w:eastAsia="Times New Roman" w:hAnsi="Times New Roman"/>
          <w:sz w:val="18"/>
          <w:szCs w:val="18"/>
          <w:b w:val="1"/>
          <w:bCs w:val="1"/>
          <w:color w:val="auto"/>
        </w:rPr>
        <w:t xml:space="preserve"> | D</w:t>
      </w:r>
      <w:r>
        <w:rPr>
          <w:rFonts w:ascii="Times New Roman" w:cs="Times New Roman" w:eastAsia="Times New Roman" w:hAnsi="Times New Roman"/>
          <w:sz w:val="12"/>
          <w:szCs w:val="12"/>
          <w:b w:val="1"/>
          <w:bCs w:val="1"/>
          <w:color w:val="auto"/>
        </w:rPr>
        <w:t>istrict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olumbia</w:t>
      </w:r>
      <w:r>
        <w:rPr>
          <w:rFonts w:ascii="Times New Roman" w:cs="Times New Roman" w:eastAsia="Times New Roman" w:hAnsi="Times New Roman"/>
          <w:sz w:val="18"/>
          <w:szCs w:val="18"/>
          <w:b w:val="1"/>
          <w:bCs w:val="1"/>
          <w:color w:val="auto"/>
        </w:rPr>
        <w:t xml:space="preserve"> | F</w:t>
      </w:r>
      <w:r>
        <w:rPr>
          <w:rFonts w:ascii="Times New Roman" w:cs="Times New Roman" w:eastAsia="Times New Roman" w:hAnsi="Times New Roman"/>
          <w:sz w:val="12"/>
          <w:szCs w:val="12"/>
          <w:b w:val="1"/>
          <w:bCs w:val="1"/>
          <w:color w:val="auto"/>
        </w:rPr>
        <w:t>lorida</w:t>
      </w:r>
      <w:r>
        <w:rPr>
          <w:rFonts w:ascii="Times New Roman" w:cs="Times New Roman" w:eastAsia="Times New Roman" w:hAnsi="Times New Roman"/>
          <w:sz w:val="18"/>
          <w:szCs w:val="18"/>
          <w:b w:val="1"/>
          <w:bCs w:val="1"/>
          <w:color w:val="auto"/>
        </w:rPr>
        <w:t xml:space="preserve"> | G</w:t>
      </w:r>
      <w:r>
        <w:rPr>
          <w:rFonts w:ascii="Times New Roman" w:cs="Times New Roman" w:eastAsia="Times New Roman" w:hAnsi="Times New Roman"/>
          <w:sz w:val="12"/>
          <w:szCs w:val="12"/>
          <w:b w:val="1"/>
          <w:bCs w:val="1"/>
          <w:color w:val="auto"/>
        </w:rPr>
        <w:t>eorgia</w:t>
      </w:r>
      <w:r>
        <w:rPr>
          <w:rFonts w:ascii="Times New Roman" w:cs="Times New Roman" w:eastAsia="Times New Roman" w:hAnsi="Times New Roman"/>
          <w:sz w:val="18"/>
          <w:szCs w:val="18"/>
          <w:b w:val="1"/>
          <w:bCs w:val="1"/>
          <w:color w:val="auto"/>
        </w:rPr>
        <w:t xml:space="preserve"> | I</w:t>
      </w:r>
      <w:r>
        <w:rPr>
          <w:rFonts w:ascii="Times New Roman" w:cs="Times New Roman" w:eastAsia="Times New Roman" w:hAnsi="Times New Roman"/>
          <w:sz w:val="12"/>
          <w:szCs w:val="12"/>
          <w:b w:val="1"/>
          <w:bCs w:val="1"/>
          <w:color w:val="auto"/>
        </w:rPr>
        <w:t>llinois</w:t>
      </w:r>
      <w:r>
        <w:rPr>
          <w:rFonts w:ascii="Times New Roman" w:cs="Times New Roman" w:eastAsia="Times New Roman" w:hAnsi="Times New Roman"/>
          <w:sz w:val="18"/>
          <w:szCs w:val="18"/>
          <w:b w:val="1"/>
          <w:bCs w:val="1"/>
          <w:color w:val="auto"/>
        </w:rPr>
        <w:t xml:space="preserve"> | M</w:t>
      </w:r>
      <w:r>
        <w:rPr>
          <w:rFonts w:ascii="Times New Roman" w:cs="Times New Roman" w:eastAsia="Times New Roman" w:hAnsi="Times New Roman"/>
          <w:sz w:val="12"/>
          <w:szCs w:val="12"/>
          <w:b w:val="1"/>
          <w:bCs w:val="1"/>
          <w:color w:val="auto"/>
        </w:rPr>
        <w:t>aryland</w:t>
      </w:r>
      <w:r>
        <w:rPr>
          <w:rFonts w:ascii="Times New Roman" w:cs="Times New Roman" w:eastAsia="Times New Roman" w:hAnsi="Times New Roman"/>
          <w:sz w:val="18"/>
          <w:szCs w:val="18"/>
          <w:b w:val="1"/>
          <w:bCs w:val="1"/>
          <w:color w:val="auto"/>
        </w:rPr>
        <w:t xml:space="preserve"> | M</w:t>
      </w:r>
      <w:r>
        <w:rPr>
          <w:rFonts w:ascii="Times New Roman" w:cs="Times New Roman" w:eastAsia="Times New Roman" w:hAnsi="Times New Roman"/>
          <w:sz w:val="12"/>
          <w:szCs w:val="12"/>
          <w:b w:val="1"/>
          <w:bCs w:val="1"/>
          <w:color w:val="auto"/>
        </w:rPr>
        <w:t>assachusetts</w:t>
      </w:r>
      <w:r>
        <w:rPr>
          <w:rFonts w:ascii="Times New Roman" w:cs="Times New Roman" w:eastAsia="Times New Roman" w:hAnsi="Times New Roman"/>
          <w:sz w:val="18"/>
          <w:szCs w:val="18"/>
          <w:b w:val="1"/>
          <w:bCs w:val="1"/>
          <w:color w:val="auto"/>
        </w:rPr>
        <w:t xml:space="preserve"> | M</w:t>
      </w:r>
      <w:r>
        <w:rPr>
          <w:rFonts w:ascii="Times New Roman" w:cs="Times New Roman" w:eastAsia="Times New Roman" w:hAnsi="Times New Roman"/>
          <w:sz w:val="12"/>
          <w:szCs w:val="12"/>
          <w:b w:val="1"/>
          <w:bCs w:val="1"/>
          <w:color w:val="auto"/>
        </w:rPr>
        <w:t>innesota</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ew</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ork</w:t>
      </w:r>
      <w:r>
        <w:rPr>
          <w:rFonts w:ascii="Times New Roman" w:cs="Times New Roman" w:eastAsia="Times New Roman" w:hAnsi="Times New Roman"/>
          <w:sz w:val="18"/>
          <w:szCs w:val="18"/>
          <w:b w:val="1"/>
          <w:bCs w:val="1"/>
          <w:color w:val="auto"/>
        </w:rPr>
        <w:t xml:space="preserve"> | N</w:t>
      </w:r>
      <w:r>
        <w:rPr>
          <w:rFonts w:ascii="Times New Roman" w:cs="Times New Roman" w:eastAsia="Times New Roman" w:hAnsi="Times New Roman"/>
          <w:sz w:val="12"/>
          <w:szCs w:val="12"/>
          <w:b w:val="1"/>
          <w:bCs w:val="1"/>
          <w:color w:val="auto"/>
        </w:rPr>
        <w:t>orth</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arolina</w:t>
      </w:r>
      <w:r>
        <w:rPr>
          <w:rFonts w:ascii="Times New Roman" w:cs="Times New Roman" w:eastAsia="Times New Roman" w:hAnsi="Times New Roman"/>
          <w:sz w:val="18"/>
          <w:szCs w:val="18"/>
          <w:b w:val="1"/>
          <w:bCs w:val="1"/>
          <w:color w:val="auto"/>
        </w:rPr>
        <w:t xml:space="preserve"> | O</w:t>
      </w:r>
      <w:r>
        <w:rPr>
          <w:rFonts w:ascii="Times New Roman" w:cs="Times New Roman" w:eastAsia="Times New Roman" w:hAnsi="Times New Roman"/>
          <w:sz w:val="12"/>
          <w:szCs w:val="12"/>
          <w:b w:val="1"/>
          <w:bCs w:val="1"/>
          <w:color w:val="auto"/>
        </w:rPr>
        <w:t>hio</w:t>
      </w:r>
      <w:r>
        <w:rPr>
          <w:rFonts w:ascii="Times New Roman" w:cs="Times New Roman" w:eastAsia="Times New Roman" w:hAnsi="Times New Roman"/>
          <w:sz w:val="18"/>
          <w:szCs w:val="18"/>
          <w:b w:val="1"/>
          <w:bCs w:val="1"/>
          <w:color w:val="auto"/>
        </w:rPr>
        <w:t xml:space="preserve"> | P</w:t>
      </w:r>
      <w:r>
        <w:rPr>
          <w:rFonts w:ascii="Times New Roman" w:cs="Times New Roman" w:eastAsia="Times New Roman" w:hAnsi="Times New Roman"/>
          <w:sz w:val="12"/>
          <w:szCs w:val="12"/>
          <w:b w:val="1"/>
          <w:bCs w:val="1"/>
          <w:color w:val="auto"/>
        </w:rPr>
        <w:t>ennsylvania</w:t>
      </w:r>
      <w:r>
        <w:rPr>
          <w:rFonts w:ascii="Times New Roman" w:cs="Times New Roman" w:eastAsia="Times New Roman" w:hAnsi="Times New Roman"/>
          <w:sz w:val="18"/>
          <w:szCs w:val="18"/>
          <w:b w:val="1"/>
          <w:bCs w:val="1"/>
          <w:color w:val="auto"/>
        </w:rPr>
        <w:t xml:space="preserve"> | S</w:t>
      </w:r>
      <w:r>
        <w:rPr>
          <w:rFonts w:ascii="Times New Roman" w:cs="Times New Roman" w:eastAsia="Times New Roman" w:hAnsi="Times New Roman"/>
          <w:sz w:val="12"/>
          <w:szCs w:val="12"/>
          <w:b w:val="1"/>
          <w:bCs w:val="1"/>
          <w:color w:val="auto"/>
        </w:rPr>
        <w:t>outh</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arolina</w:t>
      </w:r>
      <w:r>
        <w:rPr>
          <w:rFonts w:ascii="Times New Roman" w:cs="Times New Roman" w:eastAsia="Times New Roman" w:hAnsi="Times New Roman"/>
          <w:sz w:val="18"/>
          <w:szCs w:val="18"/>
          <w:b w:val="1"/>
          <w:bCs w:val="1"/>
          <w:color w:val="auto"/>
        </w:rPr>
        <w:t xml:space="preserve"> | T</w:t>
      </w:r>
      <w:r>
        <w:rPr>
          <w:rFonts w:ascii="Times New Roman" w:cs="Times New Roman" w:eastAsia="Times New Roman" w:hAnsi="Times New Roman"/>
          <w:sz w:val="12"/>
          <w:szCs w:val="12"/>
          <w:b w:val="1"/>
          <w:bCs w:val="1"/>
          <w:color w:val="auto"/>
        </w:rPr>
        <w:t>ennessee</w:t>
      </w:r>
      <w:r>
        <w:rPr>
          <w:rFonts w:ascii="Times New Roman" w:cs="Times New Roman" w:eastAsia="Times New Roman" w:hAnsi="Times New Roman"/>
          <w:sz w:val="18"/>
          <w:szCs w:val="18"/>
          <w:b w:val="1"/>
          <w:bCs w:val="1"/>
          <w:color w:val="auto"/>
        </w:rPr>
        <w:t xml:space="preserve"> | T</w:t>
      </w:r>
      <w:r>
        <w:rPr>
          <w:rFonts w:ascii="Times New Roman" w:cs="Times New Roman" w:eastAsia="Times New Roman" w:hAnsi="Times New Roman"/>
          <w:sz w:val="12"/>
          <w:szCs w:val="12"/>
          <w:b w:val="1"/>
          <w:bCs w:val="1"/>
          <w:color w:val="auto"/>
        </w:rPr>
        <w:t>exas</w:t>
      </w:r>
      <w:r>
        <w:rPr>
          <w:rFonts w:ascii="Times New Roman" w:cs="Times New Roman" w:eastAsia="Times New Roman" w:hAnsi="Times New Roman"/>
          <w:sz w:val="18"/>
          <w:szCs w:val="18"/>
          <w:b w:val="1"/>
          <w:bCs w:val="1"/>
          <w:color w:val="auto"/>
        </w:rPr>
        <w:t xml:space="preserve"> | V</w:t>
      </w:r>
      <w:r>
        <w:rPr>
          <w:rFonts w:ascii="Times New Roman" w:cs="Times New Roman" w:eastAsia="Times New Roman" w:hAnsi="Times New Roman"/>
          <w:sz w:val="12"/>
          <w:szCs w:val="12"/>
          <w:b w:val="1"/>
          <w:bCs w:val="1"/>
          <w:color w:val="auto"/>
        </w:rPr>
        <w:t>irginia</w:t>
      </w:r>
      <w:r>
        <w:rPr>
          <w:rFonts w:ascii="Times New Roman" w:cs="Times New Roman" w:eastAsia="Times New Roman" w:hAnsi="Times New Roman"/>
          <w:sz w:val="18"/>
          <w:szCs w:val="18"/>
          <w:b w:val="1"/>
          <w:bCs w:val="1"/>
          <w:color w:val="auto"/>
        </w:rPr>
        <w:t xml:space="preserve"> | W</w:t>
      </w:r>
      <w:r>
        <w:rPr>
          <w:rFonts w:ascii="Times New Roman" w:cs="Times New Roman" w:eastAsia="Times New Roman" w:hAnsi="Times New Roman"/>
          <w:sz w:val="12"/>
          <w:szCs w:val="12"/>
          <w:b w:val="1"/>
          <w:bCs w:val="1"/>
          <w:color w:val="auto"/>
        </w:rPr>
        <w:t>est</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423545</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Eagle Nuclear Energy Corp.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2"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This opinion letter is rendered as of the date hereof, and we assume no obligations to advise you of changes in law or fact (or the effect thereof on the opinions expressed herein) that hereafter may come to our attention. We hereby consent to the filing of this opinion letter with the SEC as Exhibit 5.1 to the Registration Statement. In giving this consent, we do not thereby admit that we are in the category of persons whose consent is required under Section 7 of the Securities Act of 1933, as amended, or the rules and regulations of the SEC.</w:t>
      </w:r>
    </w:p>
    <w:p>
      <w:pPr>
        <w:spacing w:after="0" w:line="182"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Our opinions are based upon and limited to Chapter 78 of the Nevada Revised Statutes, and no opinion is expressed as to the laws of any other jurisdiction. We do not find it necessary for the purposes of this opinion, and accordingly we do not purport to cover herein, the application of the securities or “Blue Sky” laws of the various states to the issuance and sale of any of the Shares.</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Nelson Mullins Riley &amp; Scarborough LLP</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Nelson Mullins Riley &amp; Scarborough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January 20, 2026, relating to the financial statements of Eagle Energy Metals Corp. as of November 30, 2025 and 2024, and for the year ended November 30, 2025 and the period from December 14, 2023 (inception) through November 30, 2024, which includes an explanatory paragraph relating to the Company’s ability to continue as a going concern, and which forms part of this Registration Statement.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Adeptus Partners,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New Jersey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August 20, 2025, relating to the financial statements of Oregon Energy LLC as of June 30, 2025 and 2024, and for the years then ended, which includes an explanatory paragraph relating to the Company’s ability to continue as a going concern, and which forms part of this Registration Statement.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Adeptus Partners,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New Jersey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445135</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Eagle Nuclear Energy Corp.</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 par</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5,937,008</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$ 10.89</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$ 8,928.72</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64,654,017.12</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$0.0001</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$ 8,928.72</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64,654,017.12</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$ 8,928.72</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60"/>
        <w:spacing w:after="0" w:line="252" w:lineRule="auto"/>
        <w:rPr>
          <w:sz w:val="20"/>
          <w:szCs w:val="20"/>
          <w:color w:val="auto"/>
        </w:rPr>
      </w:pPr>
      <w:r>
        <w:rPr>
          <w:rFonts w:ascii="Arial" w:cs="Arial" w:eastAsia="Arial" w:hAnsi="Arial"/>
          <w:sz w:val="21"/>
          <w:szCs w:val="21"/>
          <w:color w:val="auto"/>
        </w:rPr>
        <w:t>Estimated in accordance with Rule 457(c))and Rule 457(h) under the Securities Act, based on the average of the high and low prices of the Registrant's common stock, par value $0.0001 per share (the "Common Stock"), on the Nasdaq Capital Market on April 29, 2026, which date is within five business days prior to filing this registration statement.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Represents up to an aggregate of 5,937,008 shares of the Common Stock (the "Shares"), consisting of</w:t>
      </w:r>
    </w:p>
    <w:p>
      <w:pPr>
        <w:spacing w:after="0" w:line="19" w:lineRule="exact"/>
        <w:rPr>
          <w:sz w:val="20"/>
          <w:szCs w:val="20"/>
          <w:color w:val="auto"/>
        </w:rPr>
      </w:pPr>
    </w:p>
    <w:p>
      <w:pPr>
        <w:ind w:left="800" w:right="680" w:firstLine="2"/>
        <w:spacing w:after="0"/>
        <w:tabs>
          <w:tab w:leader="none" w:pos="1049" w:val="left"/>
        </w:tabs>
        <w:numPr>
          <w:ilvl w:val="0"/>
          <w:numId w:val="7"/>
        </w:numPr>
        <w:rPr>
          <w:rFonts w:ascii="Arial" w:cs="Arial" w:eastAsia="Arial" w:hAnsi="Arial"/>
          <w:sz w:val="21"/>
          <w:szCs w:val="21"/>
          <w:color w:val="auto"/>
        </w:rPr>
      </w:pPr>
      <w:r>
        <w:rPr>
          <w:rFonts w:ascii="Arial" w:cs="Arial" w:eastAsia="Arial" w:hAnsi="Arial"/>
          <w:sz w:val="21"/>
          <w:szCs w:val="21"/>
          <w:color w:val="auto"/>
        </w:rPr>
        <w:t>up to 4,437,008 shares of Common Stock, issuable under the Eagle Nuclear Energy Corp. 2025 Equity Incentive Plan (the "Plan"), and (ii) up to 1,500,000 shares of Common Stock (the "Earnout Shares") reserved for future issuance under the Plan to be used solely and exclusively for the grant of Common Stock pursuant to the earnout provisions of the Amended and Restated Agreement and Plan of Merger, dated as of September 29, 2025 (as it may be amended, supplemented, or otherwise modified from time to time, the "Merger Agreement"), by and among Spring Valley Acquisition Corp. II, the Registrant, Spring Valley Merger Sub III, Inc., a wholly owned, direct subsidiary of the Registrant, Spring Valley Merger Sub II, Inc., a wholly owned, direct subsidiary of the Registrant, and Eagle Energy Metals Corp. Pursuant to Rule 416(a) of the Securities Act of 1933, as amended (the "Securities Act"), this registration statement also includes an indeterminate number of additional shares of Common Stock that may become issuable pursuant to the anti-dilution provisions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63874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6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6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lowerRoman"/>
      <w:start w:val="3"/>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jpe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13" Type="http://schemas.openxmlformats.org/officeDocument/2006/relationships/hyperlink" Target="https://www.sec.gov/Archives/edgar/data/2089283/000110465926048656/tm268509-14_424b3.htm" TargetMode="External"/><Relationship Id="rId14" Type="http://schemas.openxmlformats.org/officeDocument/2006/relationships/hyperlink" Target="https://www.sec.gov/ix?doc=/Archives/edgar/data/2089283/000110465926047040/tmb-20260228xs1a.htm" TargetMode="External"/><Relationship Id="rId15" Type="http://schemas.openxmlformats.org/officeDocument/2006/relationships/hyperlink" Target="https://www.sec.gov/ix?doc=/Archives/edgar/data/2089283/000110465926043856/tmb-20260228x10q.htm" TargetMode="External"/><Relationship Id="rId16" Type="http://schemas.openxmlformats.org/officeDocument/2006/relationships/hyperlink" Target="https://www.sec.gov/ix?doc=/Archives/edgar/data/2089283/000110465926022330/tm267670d1_8k.htm" TargetMode="External"/><Relationship Id="rId17" Type="http://schemas.openxmlformats.org/officeDocument/2006/relationships/hyperlink" Target="https://www.sec.gov/Archives/edgar/data/2089283/000110465926018962/tm267037d1_8a12b.htm" TargetMode="External"/><Relationship Id="rId23" Type="http://schemas.openxmlformats.org/officeDocument/2006/relationships/hyperlink" Target="https://www.sec.gov/Archives/edgar/data/2089283/000110465926022330/tm267670d1_ex3-1.htm" TargetMode="External"/><Relationship Id="rId24" Type="http://schemas.openxmlformats.org/officeDocument/2006/relationships/hyperlink" Target="https://www.sec.gov/Archives/edgar/data/2089283/000110465926022330/tm267670d1_ex3-2.htm" TargetMode="External"/><Relationship Id="rId25" Type="http://schemas.openxmlformats.org/officeDocument/2006/relationships/hyperlink" Target="https://www.sec.gov/Archives/edgar/data/2089283/000110465926022330/tm267670d1_ex3-3.htm" TargetMode="External"/><Relationship Id="rId26" Type="http://schemas.openxmlformats.org/officeDocument/2006/relationships/hyperlink" Target="https://www.sec.gov/Archives/edgar/data/2089283/000110465926022330/tm267670d1_ex10-3.htm" TargetMode="External"/><Relationship Id="rId27" Type="http://schemas.openxmlformats.org/officeDocument/2006/relationships/hyperlink" Target="https://www.sec.gov/Archives/edgar/data/2089283/000110465926022330/tm267670d1_ex10-4.htm" TargetMode="External"/><Relationship Id="rId28" Type="http://schemas.openxmlformats.org/officeDocument/2006/relationships/hyperlink" Target="https://www.sec.gov/Archives/edgar/data/2089283/000110465926022330/tm267670d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2026-05-01T16:20:47Z</dcterms:created>
  <dcterms:modified xsi:type="dcterms:W3CDTF">2026-05-01T16:20:47Z</dcterms:modified>
</cp:coreProperties>
</file>