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3624d1_8k.htm"/>
      <w:bookmarkStart w:id="1" w:name="kstm262362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both"/>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FORM </w:t>
      </w:r>
      <w:bookmarkStart w:id="2" w:name="xdx_907_edei--DocumentType_c20260819__20"/>
      <w:bookmarkEnd w:id="2"/>
      <w:r>
        <w:rPr>
          <w:rFonts w:ascii="Times New Roman;Times;Serif" w:hAnsi="Times New Roman;Times;Serif"/>
          <w:b/>
          <w:i w:val="false"/>
          <w:caps/>
          <w:sz w:val="20"/>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1_edei--EntityRegistrantName_c2026"/>
      <w:bookmarkEnd w:id="4"/>
      <w:r>
        <w:rPr>
          <w:rFonts w:ascii="Times New Roman;Times;Serif" w:hAnsi="Times New Roman;Times;Serif"/>
          <w:b/>
          <w:i w:val="false"/>
          <w:caps w:val="false"/>
          <w:smallCaps w:val="false"/>
          <w:sz w:val="28"/>
        </w:rPr>
        <w:t>Eagle Nuclear Energy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6330" w:type="dxa"/>
        <w:jc w:val="left"/>
        <w:tblInd w:w="0" w:type="dxa"/>
        <w:tblLayout w:type="fixed"/>
        <w:tblCellMar>
          <w:top w:w="0" w:type="dxa"/>
          <w:left w:w="0" w:type="dxa"/>
          <w:bottom w:w="0" w:type="dxa"/>
          <w:right w:w="0" w:type="dxa"/>
        </w:tblCellMar>
      </w:tblPr>
      <w:tblGrid>
        <w:gridCol w:w="3215"/>
        <w:gridCol w:w="1340"/>
        <w:gridCol w:w="1775"/>
      </w:tblGrid>
      <w:tr>
        <w:trPr/>
        <w:tc>
          <w:tcPr>
            <w:tcW w:w="3215" w:type="dxa"/>
            <w:tcBorders/>
            <w:vAlign w:val="center"/>
          </w:tcPr>
          <w:p>
            <w:pPr>
              <w:pStyle w:val="TableContents"/>
              <w:bidi w:val="0"/>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Nevada</w:t>
            </w:r>
          </w:p>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w:t>
              <w:br/>
              <w:t>of incorporation)</w:t>
            </w:r>
          </w:p>
        </w:tc>
        <w:tc>
          <w:tcPr>
            <w:tcW w:w="1340" w:type="dxa"/>
            <w:tcBorders/>
            <w:vAlign w:val="center"/>
          </w:tcPr>
          <w:p>
            <w:pPr>
              <w:pStyle w:val="TableContents"/>
              <w:bidi w:val="0"/>
              <w:jc w:val="center"/>
              <w:rPr>
                <w:rFonts w:ascii="Times New Roman;Times;Serif" w:hAnsi="Times New Roman;Times;Serif"/>
                <w:b/>
                <w:sz w:val="20"/>
              </w:rPr>
            </w:pPr>
            <w:bookmarkStart w:id="6" w:name="xdx_901_edei--EntityFileNumber_c20260819"/>
            <w:bookmarkEnd w:id="6"/>
            <w:r>
              <w:rPr>
                <w:rFonts w:ascii="Times New Roman;Times;Serif" w:hAnsi="Times New Roman;Times;Serif"/>
                <w:b/>
                <w:sz w:val="20"/>
              </w:rPr>
              <w:t>001-43162</w:t>
            </w:r>
          </w:p>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(Commission </w:t>
              <w:br/>
              <w:t>File Number)</w:t>
            </w:r>
          </w:p>
        </w:tc>
        <w:tc>
          <w:tcPr>
            <w:tcW w:w="1775" w:type="dxa"/>
            <w:tcBorders/>
            <w:vAlign w:val="center"/>
          </w:tcPr>
          <w:p>
            <w:pPr>
              <w:pStyle w:val="TableContents"/>
              <w:bidi w:val="0"/>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41-3113978</w:t>
            </w:r>
          </w:p>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5470 Kietzke Lane, </w:t>
            </w:r>
            <w:bookmarkStart w:id="9" w:name="xdx_90E_edei--EntityAddressAddressLine2_"/>
            <w:bookmarkEnd w:id="9"/>
            <w:r>
              <w:rPr>
                <w:rFonts w:ascii="Times New Roman;Times;Serif" w:hAnsi="Times New Roman;Times;Serif"/>
                <w:b/>
                <w:i w:val="false"/>
                <w:caps w:val="false"/>
                <w:smallCaps w:val="false"/>
                <w:sz w:val="20"/>
              </w:rPr>
              <w:t>Suite 300</w:t>
            </w:r>
          </w:p>
          <w:p>
            <w:pPr>
              <w:pStyle w:val="TableContents"/>
              <w:bidi w:val="0"/>
              <w:spacing w:before="0" w:after="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Reno, </w:t>
            </w:r>
            <w:bookmarkStart w:id="11" w:name="xdx_901_edei--EntityAddressStateOrProvin"/>
            <w:bookmarkEnd w:id="11"/>
            <w:r>
              <w:rPr>
                <w:rFonts w:ascii="Times New Roman;Times;Serif" w:hAnsi="Times New Roman;Times;Serif"/>
                <w:b/>
                <w:i w:val="false"/>
                <w:caps w:val="false"/>
                <w:smallCaps w:val="false"/>
                <w:sz w:val="20"/>
              </w:rPr>
              <w:t>NV</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340" w:type="dxa"/>
            <w:tcBorders/>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tc>
        <w:tc>
          <w:tcPr>
            <w:tcW w:w="177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89511</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819__20"/>
      <w:bookmarkEnd w:id="13"/>
      <w:r>
        <w:rPr>
          <w:rFonts w:ascii="Times New Roman;Times;Serif" w:hAnsi="Times New Roman;Times;Serif"/>
          <w:b/>
          <w:i w:val="false"/>
          <w:caps w:val="false"/>
          <w:smallCaps w:val="false"/>
          <w:sz w:val="20"/>
        </w:rPr>
        <w:t xml:space="preserve">775) </w:t>
      </w:r>
      <w:bookmarkStart w:id="14" w:name="xdx_90C_edei--LocalPhoneNumber_c20260819"/>
      <w:bookmarkEnd w:id="14"/>
      <w:r>
        <w:rPr>
          <w:rFonts w:ascii="Times New Roman;Times;Serif" w:hAnsi="Times New Roman;Times;Serif"/>
          <w:b/>
          <w:i w:val="false"/>
          <w:caps w:val="false"/>
          <w:smallCaps w:val="false"/>
          <w:sz w:val="20"/>
        </w:rPr>
        <w:t>335-2029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5" w:name="xdx_903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 </w:t>
      </w:r>
    </w:p>
    <w:p>
      <w:pPr>
        <w:pStyle w:val="TextBody"/>
        <w:bidi w:val="0"/>
        <w:spacing w:before="0" w:after="0"/>
        <w:ind w:left="0" w:right="0" w:hanging="0"/>
        <w:jc w:val="both"/>
        <w:rPr>
          <w:caps w:val="false"/>
          <w:smallCaps w:val="false"/>
        </w:rPr>
      </w:pPr>
      <w:bookmarkStart w:id="16" w:name="xdx_90F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 </w:t>
      </w:r>
    </w:p>
    <w:p>
      <w:pPr>
        <w:pStyle w:val="TextBody"/>
        <w:bidi w:val="0"/>
        <w:spacing w:before="0" w:after="0"/>
        <w:ind w:left="0" w:right="0" w:hanging="0"/>
        <w:jc w:val="both"/>
        <w:rPr>
          <w:caps w:val="false"/>
          <w:smallCaps w:val="false"/>
        </w:rPr>
      </w:pPr>
      <w:bookmarkStart w:id="17" w:name="xdx_90E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 </w:t>
      </w:r>
    </w:p>
    <w:p>
      <w:pPr>
        <w:pStyle w:val="TextBody"/>
        <w:bidi w:val="0"/>
        <w:spacing w:before="0" w:after="0"/>
        <w:ind w:left="0" w:right="0" w:hanging="0"/>
        <w:jc w:val="both"/>
        <w:rPr>
          <w:caps w:val="false"/>
          <w:smallCaps w:val="false"/>
        </w:rPr>
      </w:pPr>
      <w:bookmarkStart w:id="18" w:name="xdx_903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15"/>
        <w:gridCol w:w="60"/>
        <w:gridCol w:w="826"/>
        <w:gridCol w:w="60"/>
        <w:gridCol w:w="2144"/>
      </w:tblGrid>
      <w:tr>
        <w:trPr/>
        <w:tc>
          <w:tcPr>
            <w:tcW w:w="71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 </w:t>
            </w:r>
          </w:p>
        </w:tc>
        <w:tc>
          <w:tcPr>
            <w:tcW w:w="60" w:type="dxa"/>
            <w:tcBorders/>
            <w:tcMar>
              <w:bottom w:w="0" w:type="dxa"/>
            </w:tcMar>
            <w:vAlign w:val="center"/>
          </w:tcPr>
          <w:p>
            <w:pPr>
              <w:pStyle w:val="TableContents"/>
              <w:bidi w:val="0"/>
              <w:spacing w:before="0" w:after="283"/>
              <w:jc w:val="center"/>
              <w:rPr/>
            </w:pPr>
            <w:r>
              <w:rPr/>
              <w:t> </w:t>
            </w:r>
          </w:p>
        </w:tc>
        <w:tc>
          <w:tcPr>
            <w:tcW w:w="82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14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w:t>
              <w:br/>
              <w:t xml:space="preserve">exchange on </w:t>
              <w:br/>
              <w:t xml:space="preserve">which </w:t>
              <w:br/>
              <w:t>registered</w:t>
            </w:r>
          </w:p>
        </w:tc>
      </w:tr>
      <w:tr>
        <w:trPr/>
        <w:tc>
          <w:tcPr>
            <w:tcW w:w="71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Security12bTitle_c20260819"/>
            <w:bookmarkEnd w:id="19"/>
            <w:r>
              <w:rPr>
                <w:rFonts w:ascii="Times New Roman;Times;Serif" w:hAnsi="Times New Roman;Times;Serif"/>
                <w:sz w:val="20"/>
              </w:rPr>
              <w:t>Common Stock, par value $0.0001 per share</w:t>
            </w:r>
          </w:p>
        </w:tc>
        <w:tc>
          <w:tcPr>
            <w:tcW w:w="60" w:type="dxa"/>
            <w:tcBorders/>
            <w:tcMar>
              <w:bottom w:w="0" w:type="dxa"/>
            </w:tcMar>
            <w:vAlign w:val="center"/>
          </w:tcPr>
          <w:p>
            <w:pPr>
              <w:pStyle w:val="TableContents"/>
              <w:bidi w:val="0"/>
              <w:spacing w:before="0" w:after="283"/>
              <w:jc w:val="center"/>
              <w:rPr/>
            </w:pPr>
            <w:r>
              <w:rPr/>
              <w:t> </w:t>
            </w:r>
          </w:p>
        </w:tc>
        <w:tc>
          <w:tcPr>
            <w:tcW w:w="826"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D_edei--TradingSymbol_c20260819__2"/>
            <w:bookmarkEnd w:id="20"/>
            <w:r>
              <w:rPr>
                <w:rFonts w:ascii="Times New Roman;Times;Serif" w:hAnsi="Times New Roman;Times;Serif"/>
                <w:sz w:val="20"/>
              </w:rPr>
              <w:t>NUCL</w:t>
            </w:r>
          </w:p>
        </w:tc>
        <w:tc>
          <w:tcPr>
            <w:tcW w:w="60" w:type="dxa"/>
            <w:tcBorders/>
            <w:tcMar>
              <w:bottom w:w="0" w:type="dxa"/>
            </w:tcMar>
            <w:vAlign w:val="center"/>
          </w:tcPr>
          <w:p>
            <w:pPr>
              <w:pStyle w:val="TableContents"/>
              <w:bidi w:val="0"/>
              <w:spacing w:before="0" w:after="283"/>
              <w:jc w:val="center"/>
              <w:rPr/>
            </w:pPr>
            <w:r>
              <w:rPr/>
              <w:t> </w:t>
            </w:r>
          </w:p>
        </w:tc>
        <w:tc>
          <w:tcPr>
            <w:tcW w:w="214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4_edei--SecurityExchangeName_c2026"/>
            <w:bookmarkEnd w:id="21"/>
            <w:r>
              <w:rPr>
                <w:rFonts w:ascii="Times New Roman;Times;Serif" w:hAnsi="Times New Roman;Times;Serif"/>
                <w:sz w:val="20"/>
              </w:rPr>
              <w:t>The Nasdaq Stock Market LLC</w:t>
            </w:r>
          </w:p>
        </w:tc>
      </w:tr>
      <w:tr>
        <w:trPr/>
        <w:tc>
          <w:tcPr>
            <w:tcW w:w="71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2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144" w:type="dxa"/>
            <w:tcBorders/>
            <w:tcMar>
              <w:bottom w:w="0" w:type="dxa"/>
            </w:tcMar>
            <w:vAlign w:val="center"/>
          </w:tcPr>
          <w:p>
            <w:pPr>
              <w:pStyle w:val="TableContents"/>
              <w:bidi w:val="0"/>
              <w:spacing w:before="0" w:after="283"/>
              <w:jc w:val="center"/>
              <w:rPr/>
            </w:pPr>
            <w:r>
              <w:rPr/>
              <w:t> </w:t>
            </w:r>
          </w:p>
        </w:tc>
      </w:tr>
      <w:tr>
        <w:trPr/>
        <w:tc>
          <w:tcPr>
            <w:tcW w:w="71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6_edei--Security12bTitle_c20260819"/>
            <w:bookmarkEnd w:id="22"/>
            <w:r>
              <w:rPr>
                <w:rFonts w:ascii="Times New Roman;Times;Serif" w:hAnsi="Times New Roman;Times;Serif"/>
                <w:sz w:val="20"/>
              </w:rPr>
              <w:t>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center"/>
              <w:rPr/>
            </w:pPr>
            <w:r>
              <w:rPr/>
              <w:t> </w:t>
            </w:r>
          </w:p>
        </w:tc>
        <w:tc>
          <w:tcPr>
            <w:tcW w:w="826"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6_edei--TradingSymbol_c20260819__2"/>
            <w:bookmarkEnd w:id="23"/>
            <w:r>
              <w:rPr>
                <w:rFonts w:ascii="Times New Roman;Times;Serif" w:hAnsi="Times New Roman;Times;Serif"/>
                <w:sz w:val="20"/>
              </w:rPr>
              <w:t>NUCLW</w:t>
            </w:r>
          </w:p>
        </w:tc>
        <w:tc>
          <w:tcPr>
            <w:tcW w:w="60" w:type="dxa"/>
            <w:tcBorders/>
            <w:tcMar>
              <w:bottom w:w="0" w:type="dxa"/>
            </w:tcMar>
            <w:vAlign w:val="center"/>
          </w:tcPr>
          <w:p>
            <w:pPr>
              <w:pStyle w:val="TableContents"/>
              <w:bidi w:val="0"/>
              <w:spacing w:before="0" w:after="283"/>
              <w:jc w:val="center"/>
              <w:rPr/>
            </w:pPr>
            <w:r>
              <w:rPr/>
              <w:t> </w:t>
            </w:r>
          </w:p>
        </w:tc>
        <w:tc>
          <w:tcPr>
            <w:tcW w:w="2144"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D_edei--SecurityExchangeName_c2026"/>
            <w:bookmarkEnd w:id="24"/>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6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bdr w:val="single" w:sz="8" w:space="1" w:color="000000"/>
        </w:rPr>
      </w:pPr>
      <w:r>
        <w:rPr>
          <w:bdr w:val="single" w:sz="8"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Proposal Submitted to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2026, Eagle Nuclear Energy Corp. (the “Company”) held its 2026 annual meeting of shareholders (the “Annual Meeting”). At the Annual Meeting, the following proposal was submitted to the shareholders of the Company, as set forth in the Company’s definitive proxy statement on Schedule 14A filed with the U.S. Securities and Exchange Commission (the “SEC”) on July 21, 2026, as supplemented by the additional definitive proxy materials filed with the SEC on August 4, 2026:</w:t>
      </w:r>
    </w:p>
    <w:p>
      <w:pPr>
        <w:pStyle w:val="TextBody"/>
        <w:bidi w:val="0"/>
        <w:spacing w:before="0" w:after="0"/>
        <w:ind w:left="0" w:right="0" w:hanging="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125"/>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00" w:type="dxa"/>
            <w:tcBorders/>
            <w:vAlign w:val="center"/>
          </w:tcPr>
          <w:p>
            <w:pPr>
              <w:pStyle w:val="TableContents"/>
              <w:bidi w:val="0"/>
              <w:spacing w:before="0" w:after="283"/>
              <w:jc w:val="both"/>
              <w:rPr/>
            </w:pPr>
            <w:r>
              <w:rPr/>
              <w:t>Proposal 1: The election of two Class I directors to serve until the 2029 annual meeting of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record date, July 15, 2026, there were 29,579,798 shares of the Company’s common stock, par value $0.0001 per share (“Common Stock”), issued and outstanding, entitled to 29,579,798 votes. Of the 29,579,798 votes that were eligible to be cast by the holders of Common Stock at the Annual Meeting, 18,557,033 votes, or approximately 62.63% of the total, were represented at the meeting in person or by proxy, constituting a quorum. The number of votes cast for, or withheld from, each nominee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elected the following directors to serve as Class I directors until the 2029 annual meeting of shareholders. The votes regarding the election of the directors were as follows:</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28" w:type="dxa"/>
          <w:right w:w="0" w:type="dxa"/>
        </w:tblCellMar>
      </w:tblPr>
      <w:tblGrid>
        <w:gridCol w:w="1550"/>
        <w:gridCol w:w="60"/>
        <w:gridCol w:w="950"/>
        <w:gridCol w:w="60"/>
        <w:gridCol w:w="1310"/>
        <w:gridCol w:w="75"/>
      </w:tblGrid>
      <w:tr>
        <w:trPr/>
        <w:tc>
          <w:tcPr>
            <w:tcW w:w="1550" w:type="dxa"/>
            <w:tcBorders>
              <w:bottom w:val="single" w:sz="8" w:space="0" w:color="000000"/>
            </w:tcBorders>
            <w:vAlign w:val="center"/>
          </w:tcPr>
          <w:p>
            <w:pPr>
              <w:pStyle w:val="TableContents"/>
              <w:bidi w:val="0"/>
              <w:spacing w:before="0" w:after="283"/>
              <w:jc w:val="center"/>
              <w:rPr>
                <w:b/>
                <w:sz w:val="20"/>
              </w:rPr>
            </w:pPr>
            <w:r>
              <w:rPr>
                <w:b/>
                <w:sz w:val="20"/>
              </w:rPr>
              <w:t>Director Nominee</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center"/>
              <w:rPr>
                <w:b/>
                <w:sz w:val="20"/>
              </w:rPr>
            </w:pPr>
            <w:r>
              <w:rPr>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8" w:space="0" w:color="000000"/>
            </w:tcBorders>
            <w:vAlign w:val="center"/>
          </w:tcPr>
          <w:p>
            <w:pPr>
              <w:pStyle w:val="TableContents"/>
              <w:bidi w:val="0"/>
              <w:spacing w:before="0" w:after="283"/>
              <w:jc w:val="center"/>
              <w:rPr>
                <w:b/>
                <w:sz w:val="20"/>
              </w:rPr>
            </w:pPr>
            <w:r>
              <w:rPr>
                <w:b/>
                <w:sz w:val="20"/>
              </w:rPr>
              <w:t>Votes Withheld</w:t>
            </w:r>
          </w:p>
        </w:tc>
        <w:tc>
          <w:tcPr>
            <w:tcW w:w="75" w:type="dxa"/>
            <w:tcBorders/>
            <w:tcMar>
              <w:bottom w:w="0" w:type="dxa"/>
            </w:tcMar>
            <w:vAlign w:val="center"/>
          </w:tcPr>
          <w:p>
            <w:pPr>
              <w:pStyle w:val="TableContents"/>
              <w:bidi w:val="0"/>
              <w:spacing w:before="0" w:after="283"/>
              <w:jc w:val="center"/>
              <w:rPr/>
            </w:pPr>
            <w:r>
              <w:rPr/>
              <w:t> </w:t>
            </w:r>
          </w:p>
        </w:tc>
      </w:tr>
      <w:tr>
        <w:trPr/>
        <w:tc>
          <w:tcPr>
            <w:tcW w:w="1550" w:type="dxa"/>
            <w:tcBorders/>
            <w:shd w:fill="CCEEFF" w:val="clear"/>
            <w:tcMar>
              <w:bottom w:w="0" w:type="dxa"/>
            </w:tcMar>
            <w:vAlign w:val="center"/>
          </w:tcPr>
          <w:p>
            <w:pPr>
              <w:pStyle w:val="TableContents"/>
              <w:bidi w:val="0"/>
              <w:spacing w:before="0" w:after="283"/>
              <w:jc w:val="center"/>
              <w:rPr>
                <w:sz w:val="20"/>
              </w:rPr>
            </w:pPr>
            <w:r>
              <w:rPr>
                <w:sz w:val="20"/>
              </w:rPr>
              <w:t>Brian Goldmeier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16,448,766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10" w:type="dxa"/>
            <w:tcBorders/>
            <w:shd w:fill="CCEEFF" w:val="clear"/>
            <w:tcMar>
              <w:bottom w:w="0" w:type="dxa"/>
            </w:tcMar>
            <w:vAlign w:val="center"/>
          </w:tcPr>
          <w:p>
            <w:pPr>
              <w:pStyle w:val="TableContents"/>
              <w:bidi w:val="0"/>
              <w:spacing w:before="0" w:after="283"/>
              <w:jc w:val="center"/>
              <w:rPr>
                <w:sz w:val="20"/>
              </w:rPr>
            </w:pPr>
            <w:r>
              <w:rPr>
                <w:sz w:val="20"/>
              </w:rPr>
              <w:t>2,108,267</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1550" w:type="dxa"/>
            <w:tcBorders/>
            <w:tcMar>
              <w:bottom w:w="0" w:type="dxa"/>
            </w:tcMar>
            <w:vAlign w:val="center"/>
          </w:tcPr>
          <w:p>
            <w:pPr>
              <w:pStyle w:val="TableContents"/>
              <w:bidi w:val="0"/>
              <w:spacing w:before="0" w:after="283"/>
              <w:jc w:val="center"/>
              <w:rPr>
                <w:sz w:val="20"/>
              </w:rPr>
            </w:pPr>
            <w:r>
              <w:rPr>
                <w:sz w:val="20"/>
              </w:rPr>
              <w:t>Ron Bloom</w:t>
            </w:r>
          </w:p>
        </w:tc>
        <w:tc>
          <w:tcPr>
            <w:tcW w:w="60" w:type="dxa"/>
            <w:tcBorders/>
            <w:tcMar>
              <w:bottom w:w="0" w:type="dxa"/>
            </w:tcMar>
            <w:vAlign w:val="center"/>
          </w:tcPr>
          <w:p>
            <w:pPr>
              <w:pStyle w:val="TableContents"/>
              <w:bidi w:val="0"/>
              <w:spacing w:before="0" w:after="283"/>
              <w:jc w:val="center"/>
              <w:rPr/>
            </w:pPr>
            <w:r>
              <w:rPr/>
              <w:t> </w:t>
            </w:r>
          </w:p>
        </w:tc>
        <w:tc>
          <w:tcPr>
            <w:tcW w:w="950" w:type="dxa"/>
            <w:tcBorders/>
            <w:tcMar>
              <w:bottom w:w="0" w:type="dxa"/>
            </w:tcMar>
            <w:vAlign w:val="center"/>
          </w:tcPr>
          <w:p>
            <w:pPr>
              <w:pStyle w:val="TableContents"/>
              <w:bidi w:val="0"/>
              <w:spacing w:before="0" w:after="283"/>
              <w:jc w:val="center"/>
              <w:rPr>
                <w:sz w:val="20"/>
              </w:rPr>
            </w:pPr>
            <w:r>
              <w:rPr>
                <w:sz w:val="20"/>
              </w:rPr>
              <w:t>16,802,067</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sz w:val="20"/>
              </w:rPr>
            </w:pPr>
            <w:r>
              <w:rPr>
                <w:sz w:val="20"/>
              </w:rPr>
              <w:t>1,754,966</w:t>
            </w:r>
          </w:p>
        </w:tc>
        <w:tc>
          <w:tcPr>
            <w:tcW w:w="7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865"/>
        <w:gridCol w:w="3635"/>
      </w:tblGrid>
      <w:tr>
        <w:trPr/>
        <w:tc>
          <w:tcPr>
            <w:tcW w:w="18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b/>
                <w:sz w:val="20"/>
              </w:rPr>
            </w:pPr>
            <w:r>
              <w:rPr>
                <w:b/>
                <w:sz w:val="20"/>
              </w:rPr>
              <w:t>EAGLE NUCLEAR ENERGY CORP.</w:t>
            </w:r>
          </w:p>
        </w:tc>
      </w:tr>
      <w:tr>
        <w:trPr/>
        <w:tc>
          <w:tcPr>
            <w:tcW w:w="18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both"/>
              <w:rPr>
                <w:sz w:val="20"/>
              </w:rPr>
            </w:pPr>
            <w:r>
              <w:rPr>
                <w:sz w:val="20"/>
              </w:rPr>
              <w:t>Date: August 19, 2026</w:t>
            </w:r>
          </w:p>
        </w:tc>
        <w:tc>
          <w:tcPr>
            <w:tcW w:w="3635"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Manavdeep Mukhija</w:t>
            </w:r>
          </w:p>
        </w:tc>
      </w:tr>
      <w:tr>
        <w:trPr/>
        <w:tc>
          <w:tcPr>
            <w:tcW w:w="18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sz w:val="20"/>
              </w:rPr>
            </w:pPr>
            <w:r>
              <w:rPr>
                <w:sz w:val="20"/>
              </w:rPr>
              <w:t>Name: Manavdeep Mukhija</w:t>
            </w:r>
          </w:p>
        </w:tc>
      </w:tr>
      <w:tr>
        <w:trPr/>
        <w:tc>
          <w:tcPr>
            <w:tcW w:w="1865" w:type="dxa"/>
            <w:tcBorders/>
            <w:vAlign w:val="center"/>
          </w:tcPr>
          <w:p>
            <w:pPr>
              <w:pStyle w:val="TableContents"/>
              <w:bidi w:val="0"/>
              <w:spacing w:before="0" w:after="283"/>
              <w:jc w:val="both"/>
              <w:rPr/>
            </w:pPr>
            <w:r>
              <w:rPr/>
              <w:t> </w:t>
            </w:r>
          </w:p>
        </w:tc>
        <w:tc>
          <w:tcPr>
            <w:tcW w:w="3635" w:type="dxa"/>
            <w:tcBorders/>
            <w:vAlign w:val="center"/>
          </w:tcPr>
          <w:p>
            <w:pPr>
              <w:pStyle w:val="TableContents"/>
              <w:bidi w:val="0"/>
              <w:spacing w:before="0" w:after="283"/>
              <w:jc w:val="both"/>
              <w:rPr>
                <w:sz w:val="20"/>
              </w:rPr>
            </w:pPr>
            <w:r>
              <w:rPr>
                <w:sz w:val="20"/>
              </w:rPr>
              <w:t>Title: Chief Executive Officer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3400</Characters>
  <CharactersWithSpaces>4047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