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197d2_nt10q.htm"/>
      <w:bookmarkStart w:id="1" w:name="kstm2616197d2_nt10q"/>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tbl>
      <w:tblPr>
        <w:tblW w:w="8435" w:type="dxa"/>
        <w:jc w:val="left"/>
        <w:tblInd w:w="0" w:type="dxa"/>
        <w:tblLayout w:type="fixed"/>
        <w:tblCellMar>
          <w:top w:w="0" w:type="dxa"/>
          <w:left w:w="0" w:type="dxa"/>
          <w:bottom w:w="0" w:type="dxa"/>
          <w:right w:w="0" w:type="dxa"/>
        </w:tblCellMar>
      </w:tblPr>
      <w:tblGrid>
        <w:gridCol w:w="1100"/>
        <w:gridCol w:w="1325"/>
        <w:gridCol w:w="1130"/>
        <w:gridCol w:w="1160"/>
        <w:gridCol w:w="1160"/>
        <w:gridCol w:w="1160"/>
        <w:gridCol w:w="1400"/>
      </w:tblGrid>
      <w:tr>
        <w:trPr/>
        <w:tc>
          <w:tcPr>
            <w:tcW w:w="11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(Check One):</w:t>
            </w:r>
          </w:p>
        </w:tc>
        <w:tc>
          <w:tcPr>
            <w:tcW w:w="1325" w:type="dxa"/>
            <w:tcBorders/>
            <w:vAlign w:val="center"/>
          </w:tcPr>
          <w:p>
            <w:pPr>
              <w:pStyle w:val="TableContents"/>
              <w:bidi w:val="0"/>
              <w:spacing w:before="0" w:after="283"/>
              <w:jc w:val="left"/>
              <w:rPr/>
            </w:pPr>
            <w:r>
              <w:rPr/>
              <w:t>☐ </w:t>
            </w:r>
            <w:r>
              <w:rPr>
                <w:rFonts w:ascii="Times New Roman;Times;Serif" w:hAnsi="Times New Roman;Times;Serif"/>
                <w:sz w:val="20"/>
              </w:rPr>
              <w:t>Form 10-K</w:t>
            </w:r>
          </w:p>
        </w:tc>
        <w:tc>
          <w:tcPr>
            <w:tcW w:w="1130" w:type="dxa"/>
            <w:tcBorders/>
            <w:vAlign w:val="center"/>
          </w:tcPr>
          <w:p>
            <w:pPr>
              <w:pStyle w:val="TableContents"/>
              <w:bidi w:val="0"/>
              <w:spacing w:before="0" w:after="283"/>
              <w:jc w:val="left"/>
              <w:rPr/>
            </w:pPr>
            <w:r>
              <w:rPr/>
              <w:t>☐ </w:t>
            </w:r>
            <w:r>
              <w:rPr>
                <w:rFonts w:ascii="Times New Roman;Times;Serif" w:hAnsi="Times New Roman;Times;Serif"/>
                <w:sz w:val="20"/>
              </w:rPr>
              <w:t>Form 20-F</w:t>
            </w:r>
          </w:p>
        </w:tc>
        <w:tc>
          <w:tcPr>
            <w:tcW w:w="1160" w:type="dxa"/>
            <w:tcBorders/>
            <w:vAlign w:val="center"/>
          </w:tcPr>
          <w:p>
            <w:pPr>
              <w:pStyle w:val="TableContents"/>
              <w:bidi w:val="0"/>
              <w:spacing w:before="0" w:after="283"/>
              <w:jc w:val="left"/>
              <w:rPr/>
            </w:pPr>
            <w:r>
              <w:rPr/>
              <w:t>☐ </w:t>
            </w:r>
            <w:r>
              <w:rPr>
                <w:rFonts w:ascii="Times New Roman;Times;Serif" w:hAnsi="Times New Roman;Times;Serif"/>
                <w:sz w:val="20"/>
              </w:rPr>
              <w:t>Form 11-K</w:t>
            </w:r>
          </w:p>
        </w:tc>
        <w:tc>
          <w:tcPr>
            <w:tcW w:w="1160" w:type="dxa"/>
            <w:tcBorders/>
            <w:vAlign w:val="center"/>
          </w:tcPr>
          <w:p>
            <w:pPr>
              <w:pStyle w:val="TableContents"/>
              <w:bidi w:val="0"/>
              <w:spacing w:before="0" w:after="283"/>
              <w:jc w:val="left"/>
              <w:rPr/>
            </w:pPr>
            <w:r>
              <w:rPr/>
              <w:t>☒ </w:t>
            </w:r>
            <w:r>
              <w:rPr>
                <w:rFonts w:ascii="Times New Roman;Times;Serif" w:hAnsi="Times New Roman;Times;Serif"/>
                <w:sz w:val="20"/>
              </w:rPr>
              <w:t>Form 10-Q</w:t>
            </w:r>
          </w:p>
        </w:tc>
        <w:tc>
          <w:tcPr>
            <w:tcW w:w="1160" w:type="dxa"/>
            <w:tcBorders/>
            <w:vAlign w:val="center"/>
          </w:tcPr>
          <w:p>
            <w:pPr>
              <w:pStyle w:val="TableContents"/>
              <w:bidi w:val="0"/>
              <w:spacing w:before="0" w:after="283"/>
              <w:jc w:val="left"/>
              <w:rPr/>
            </w:pPr>
            <w:r>
              <w:rPr/>
              <w:t>☐ </w:t>
            </w:r>
            <w:r>
              <w:rPr>
                <w:rFonts w:ascii="Times New Roman;Times;Serif" w:hAnsi="Times New Roman;Times;Serif"/>
                <w:sz w:val="20"/>
              </w:rPr>
              <w:t>Form 10-D</w:t>
            </w:r>
          </w:p>
        </w:tc>
        <w:tc>
          <w:tcPr>
            <w:tcW w:w="1400" w:type="dxa"/>
            <w:tcBorders/>
            <w:vAlign w:val="center"/>
          </w:tcPr>
          <w:p>
            <w:pPr>
              <w:pStyle w:val="TableContents"/>
              <w:bidi w:val="0"/>
              <w:spacing w:before="0" w:after="283"/>
              <w:jc w:val="left"/>
              <w:rPr/>
            </w:pPr>
            <w:r>
              <w:rPr/>
              <w:t>☐ </w:t>
            </w:r>
            <w:r>
              <w:rPr>
                <w:rFonts w:ascii="Times New Roman;Times;Serif" w:hAnsi="Times New Roman;Times;Serif"/>
                <w:sz w:val="20"/>
              </w:rPr>
              <w:t xml:space="preserve">Form N-CEN </w:t>
            </w:r>
          </w:p>
        </w:tc>
      </w:tr>
      <w:tr>
        <w:trPr/>
        <w:tc>
          <w:tcPr>
            <w:tcW w:w="110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r>
              <w:rPr>
                <w:rFonts w:ascii="Times New Roman;Times;Serif" w:hAnsi="Times New Roman;Times;Serif"/>
                <w:sz w:val="20"/>
              </w:rPr>
              <w:t>Form N-CSR</w:t>
            </w:r>
          </w:p>
        </w:tc>
        <w:tc>
          <w:tcPr>
            <w:tcW w:w="113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001-43162</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75"/>
        <w:gridCol w:w="4730"/>
        <w:gridCol w:w="75"/>
      </w:tblGrid>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May 31,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N-SAR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Transaction Period Ended: __________________</w:t>
            </w:r>
          </w:p>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740" w:type="dxa"/>
        <w:jc w:val="left"/>
        <w:tblInd w:w="-10" w:type="dxa"/>
        <w:tblLayout w:type="fixed"/>
        <w:tblCellMar>
          <w:top w:w="28" w:type="dxa"/>
          <w:left w:w="108" w:type="dxa"/>
          <w:bottom w:w="28" w:type="dxa"/>
          <w:right w:w="108" w:type="dxa"/>
        </w:tblCellMar>
      </w:tblPr>
      <w:tblGrid>
        <w:gridCol w:w="9740"/>
      </w:tblGrid>
      <w:tr>
        <w:trPr/>
        <w:tc>
          <w:tcPr>
            <w:tcW w:w="97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EAGLE NUCLEAR ENERGY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5470 Kietzke Lane, Suite 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 89511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1080" w:right="5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202"/>
        <w:gridCol w:w="9698"/>
      </w:tblGrid>
      <w:tr>
        <w:trPr/>
        <w:tc>
          <w:tcPr>
            <w:tcW w:w="305" w:type="dxa"/>
            <w:tcBorders/>
            <w:vAlign w:val="center"/>
          </w:tcPr>
          <w:p>
            <w:pPr>
              <w:pStyle w:val="TableContents"/>
              <w:bidi w:val="0"/>
              <w:spacing w:before="0" w:after="283"/>
              <w:jc w:val="center"/>
              <w:rPr/>
            </w:pPr>
            <w:r>
              <w:rPr/>
              <w:t> </w:t>
            </w:r>
          </w:p>
        </w:tc>
        <w:tc>
          <w:tcPr>
            <w:tcW w:w="202"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(a)</w:t>
            </w:r>
          </w:p>
        </w:tc>
        <w:tc>
          <w:tcPr>
            <w:tcW w:w="96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reasons described in reasonable detail in Part III of this form could not be eliminated without unreasonable effort or expense;</w:t>
            </w:r>
          </w:p>
        </w:tc>
      </w:tr>
      <w:tr>
        <w:trPr/>
        <w:tc>
          <w:tcPr>
            <w:tcW w:w="305" w:type="dxa"/>
            <w:tcBorders/>
            <w:vAlign w:val="center"/>
          </w:tcPr>
          <w:p>
            <w:pPr>
              <w:pStyle w:val="TableContents"/>
              <w:bidi w:val="0"/>
              <w:spacing w:before="0" w:after="283"/>
              <w:jc w:val="center"/>
              <w:rPr/>
            </w:pPr>
            <w:r>
              <w:rPr/>
              <w:t> ☒</w:t>
            </w:r>
          </w:p>
        </w:tc>
        <w:tc>
          <w:tcPr>
            <w:tcW w:w="202"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(b)</w:t>
            </w:r>
          </w:p>
        </w:tc>
        <w:tc>
          <w:tcPr>
            <w:tcW w:w="96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11-K or Form N-SAR, or portion thereof, will be filed on or before the fifteenth calendar day following the prescribed due date; or the subject quarterly report of transition report on Form 10-Q, or portion thereof will be filed on or before the fifth calendar day following the prescribed due date; and</w:t>
            </w:r>
          </w:p>
        </w:tc>
      </w:tr>
      <w:tr>
        <w:trPr/>
        <w:tc>
          <w:tcPr>
            <w:tcW w:w="305" w:type="dxa"/>
            <w:tcBorders/>
            <w:vAlign w:val="center"/>
          </w:tcPr>
          <w:p>
            <w:pPr>
              <w:pStyle w:val="TableContents"/>
              <w:bidi w:val="0"/>
              <w:spacing w:before="0" w:after="283"/>
              <w:jc w:val="center"/>
              <w:rPr/>
            </w:pPr>
            <w:r>
              <w:rPr/>
              <w:t> </w:t>
            </w:r>
          </w:p>
        </w:tc>
        <w:tc>
          <w:tcPr>
            <w:tcW w:w="202"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(c)</w:t>
            </w:r>
          </w:p>
        </w:tc>
        <w:tc>
          <w:tcPr>
            <w:tcW w:w="96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N-SAR, or the transition report or portion thereof, could not be filed within the prescribed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 w:right="5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Nuclear Energy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determined that it is unable, without unreasonable effort or expense, to file its Quarterly Report on Form 10-Q for the fiscal quarter ended May 31, 2026 (the “</w:t>
      </w:r>
      <w:r>
        <w:rPr>
          <w:rFonts w:ascii="Times New Roman;Times;Serif" w:hAnsi="Times New Roman;Times;Serif"/>
          <w:b/>
          <w:i/>
          <w:caps w:val="false"/>
          <w:smallCaps w:val="false"/>
          <w:sz w:val="20"/>
        </w:rPr>
        <w:t>Form 10-Q</w:t>
      </w:r>
      <w:r>
        <w:rPr>
          <w:rFonts w:ascii="Times New Roman;Times;Serif" w:hAnsi="Times New Roman;Times;Serif"/>
          <w:b w:val="false"/>
          <w:i w:val="false"/>
          <w:caps w:val="false"/>
          <w:smallCaps w:val="false"/>
          <w:sz w:val="20"/>
        </w:rPr>
        <w:t>”) by the prescribed due date because the Company is in the process of finalizing the financial statements for the quarter ended May 31, 2026 and will need additional time to complete and finalize such financial statements. The Company anticipates that it will file its Form 10-Q within the five-day extension period provided by Rule 12b-25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6"/>
        <w:gridCol w:w="9769"/>
      </w:tblGrid>
      <w:tr>
        <w:trPr/>
        <w:tc>
          <w:tcPr>
            <w:tcW w:w="5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(1)</w:t>
            </w:r>
          </w:p>
        </w:tc>
        <w:tc>
          <w:tcPr>
            <w:tcW w:w="9769" w:type="dxa"/>
            <w:tcBorders/>
            <w:vAlign w:val="center"/>
          </w:tcPr>
          <w:p>
            <w:pPr>
              <w:pStyle w:val="TableContents"/>
              <w:bidi w:val="0"/>
              <w:spacing w:before="0" w:after="283"/>
              <w:jc w:val="left"/>
              <w:rPr/>
            </w:pPr>
            <w:r>
              <w:rPr/>
              <w:t>Name and telephone number of person to contact in regard to this notification</w:t>
            </w:r>
          </w:p>
        </w:tc>
      </w:tr>
    </w:tbl>
    <w:p>
      <w:pPr>
        <w:pStyle w:val="TextBody"/>
        <w:bidi w:val="0"/>
        <w:spacing w:before="0" w:after="0"/>
        <w:ind w:left="720" w:right="0" w:hanging="720"/>
        <w:jc w:val="left"/>
        <w:rPr>
          <w:caps w:val="false"/>
          <w:smallCaps w:val="false"/>
        </w:rPr>
      </w:pPr>
      <w:r>
        <w:rPr>
          <w:caps w:val="false"/>
          <w:smallCaps w:val="false"/>
        </w:rPr>
        <w:t> </w:t>
      </w:r>
    </w:p>
    <w:tbl>
      <w:tblPr>
        <w:tblW w:w="4620" w:type="dxa"/>
        <w:jc w:val="center"/>
        <w:tblInd w:w="0" w:type="dxa"/>
        <w:tblLayout w:type="fixed"/>
        <w:tblCellMar>
          <w:top w:w="0" w:type="dxa"/>
          <w:left w:w="0" w:type="dxa"/>
          <w:bottom w:w="28" w:type="dxa"/>
          <w:right w:w="0" w:type="dxa"/>
        </w:tblCellMar>
      </w:tblPr>
      <w:tblGrid>
        <w:gridCol w:w="1790"/>
        <w:gridCol w:w="60"/>
        <w:gridCol w:w="995"/>
        <w:gridCol w:w="60"/>
        <w:gridCol w:w="1715"/>
      </w:tblGrid>
      <w:tr>
        <w:trPr/>
        <w:tc>
          <w:tcPr>
            <w:tcW w:w="1790" w:type="dxa"/>
            <w:tcBorders>
              <w:bottom w:val="single" w:sz="8" w:space="0" w:color="000000"/>
            </w:tcBorders>
            <w:vAlign w:val="center"/>
          </w:tcPr>
          <w:p>
            <w:pPr>
              <w:pStyle w:val="TableContents"/>
              <w:bidi w:val="0"/>
              <w:spacing w:before="0" w:after="283"/>
              <w:jc w:val="center"/>
              <w:rPr>
                <w:b/>
                <w:sz w:val="20"/>
              </w:rPr>
            </w:pPr>
            <w:r>
              <w:rPr>
                <w:b/>
                <w:sz w:val="20"/>
              </w:rPr>
              <w:t>Manavdeep Mukhija</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775</w:t>
            </w:r>
          </w:p>
        </w:tc>
        <w:tc>
          <w:tcPr>
            <w:tcW w:w="60" w:type="dxa"/>
            <w:tcBorders/>
            <w:tcMar>
              <w:bottom w:w="0" w:type="dxa"/>
            </w:tcMar>
            <w:vAlign w:val="center"/>
          </w:tcPr>
          <w:p>
            <w:pPr>
              <w:pStyle w:val="TableContents"/>
              <w:bidi w:val="0"/>
              <w:spacing w:before="0" w:after="283"/>
              <w:jc w:val="center"/>
              <w:rPr/>
            </w:pPr>
            <w:r>
              <w:rPr/>
              <w:t> </w:t>
            </w:r>
          </w:p>
        </w:tc>
        <w:tc>
          <w:tcPr>
            <w:tcW w:w="1715" w:type="dxa"/>
            <w:tcBorders>
              <w:bottom w:val="single" w:sz="8" w:space="0" w:color="000000"/>
            </w:tcBorders>
            <w:vAlign w:val="center"/>
          </w:tcPr>
          <w:p>
            <w:pPr>
              <w:pStyle w:val="TableContents"/>
              <w:bidi w:val="0"/>
              <w:spacing w:before="0" w:after="283"/>
              <w:jc w:val="center"/>
              <w:rPr>
                <w:b/>
                <w:sz w:val="20"/>
              </w:rPr>
            </w:pPr>
            <w:r>
              <w:rPr>
                <w:b/>
                <w:sz w:val="20"/>
              </w:rPr>
              <w:t>335-2029</w:t>
            </w:r>
          </w:p>
        </w:tc>
      </w:tr>
      <w:tr>
        <w:trPr/>
        <w:tc>
          <w:tcPr>
            <w:tcW w:w="1790"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283"/>
              <w:jc w:val="center"/>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bl>
    <w:p>
      <w:pPr>
        <w:pStyle w:val="TextBody"/>
        <w:bidi w:val="0"/>
        <w:spacing w:before="0" w:after="0"/>
        <w:ind w:left="824" w:right="371" w:hanging="14"/>
        <w:jc w:val="left"/>
        <w:rPr>
          <w:caps w:val="false"/>
          <w:smallCaps w:val="false"/>
        </w:rPr>
      </w:pPr>
      <w:r>
        <w:rPr>
          <w:caps w:val="false"/>
          <w:smallCaps w:val="false"/>
        </w:rPr>
        <w:t> </w:t>
      </w:r>
    </w:p>
    <w:p>
      <w:pPr>
        <w:pStyle w:val="TextBody"/>
        <w:bidi w:val="0"/>
        <w:spacing w:before="0" w:after="0"/>
        <w:ind w:left="7200" w:right="371"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both"/>
              <w:rPr/>
            </w:pPr>
            <w:r>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7200" w:right="371"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Eagle Nuclear Energy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470"/>
        <w:gridCol w:w="1130"/>
        <w:gridCol w:w="320"/>
        <w:gridCol w:w="363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Manavdeep Mukhija</w:t>
            </w:r>
          </w:p>
        </w:tc>
      </w:tr>
      <w:tr>
        <w:trPr/>
        <w:tc>
          <w:tcPr>
            <w:tcW w:w="4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Manavdeep Mukhija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649</Words>
  <Characters>3334</Characters>
  <CharactersWithSpaces>3975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