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4683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468360"/>
                    </a:xfrm>
                    <a:prstGeom prst="rect">
                      <a:avLst/>
                    </a:prstGeom>
                    <a:noFill/>
                  </pic:spPr>
                </pic:pic>
              </a:graphicData>
            </a:graphic>
          </wp:anchor>
        </w:drawing>
      </w:r>
    </w:p>
    <w:p>
      <w:pPr>
        <w:sectPr>
          <w:pgSz w:w="11900" w:h="16912"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Spring Valley Acquisition</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2"/>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9"/>
        </w:trPr>
        <w:tc>
          <w:tcPr>
            <w:tcW w:w="40" w:type="dxa"/>
            <w:vAlign w:val="bottom"/>
          </w:tcPr>
          <w:p>
            <w:pPr>
              <w:spacing w:after="0"/>
              <w:rPr>
                <w:sz w:val="19"/>
                <w:szCs w:val="19"/>
                <w:color w:val="auto"/>
              </w:rPr>
            </w:pPr>
          </w:p>
        </w:tc>
        <w:tc>
          <w:tcPr>
            <w:tcW w:w="2480" w:type="dxa"/>
            <w:vAlign w:val="bottom"/>
            <w:tcBorders>
              <w:top w:val="single" w:sz="8" w:color="0000EE"/>
            </w:tcBorders>
          </w:tcPr>
          <w:p>
            <w:pPr>
              <w:spacing w:after="0" w:line="219" w:lineRule="exact"/>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Sponsor II, LLC</w:t>
              </w:r>
            </w:hyperlink>
          </w:p>
        </w:tc>
        <w:tc>
          <w:tcPr>
            <w:tcW w:w="540" w:type="dxa"/>
            <w:vAlign w:val="bottom"/>
          </w:tcPr>
          <w:p>
            <w:pPr>
              <w:spacing w:after="0"/>
              <w:rPr>
                <w:sz w:val="19"/>
                <w:szCs w:val="19"/>
                <w:color w:val="auto"/>
              </w:rPr>
            </w:pPr>
          </w:p>
        </w:tc>
        <w:tc>
          <w:tcPr>
            <w:tcW w:w="1560" w:type="dxa"/>
            <w:vAlign w:val="bottom"/>
          </w:tcPr>
          <w:p>
            <w:pPr>
              <w:ind w:left="200"/>
              <w:spacing w:after="0" w:line="219" w:lineRule="exact"/>
              <w:rPr>
                <w:sz w:val="20"/>
                <w:szCs w:val="20"/>
                <w:color w:val="auto"/>
              </w:rPr>
            </w:pPr>
            <w:r>
              <w:rPr>
                <w:rFonts w:ascii="Times New Roman" w:cs="Times New Roman" w:eastAsia="Times New Roman" w:hAnsi="Times New Roman"/>
                <w:sz w:val="20"/>
                <w:szCs w:val="20"/>
                <w:color w:val="0000FF"/>
              </w:rPr>
              <w:t>02/24/2026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Eagle Nuclear Energy Corp.</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NUCL</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83" w:lineRule="exact"/>
        <w:rPr>
          <w:sz w:val="20"/>
          <w:szCs w:val="20"/>
          <w:color w:val="auto"/>
        </w:rPr>
      </w:pPr>
    </w:p>
    <w:p>
      <w:pPr>
        <w:sectPr>
          <w:pgSz w:w="11900" w:h="16912" w:orient="portrait"/>
          <w:cols w:equalWidth="0" w:num="2">
            <w:col w:w="4720" w:space="280"/>
            <w:col w:w="5940"/>
          </w:cols>
          <w:pgMar w:left="480" w:top="230" w:right="479" w:bottom="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4030 MAPLE AVENUE, SUITE 500</w:t>
            </w: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r>
      <w:tr>
        <w:trPr>
          <w:trHeight w:val="303"/>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65"/>
        </w:trPr>
        <w:tc>
          <w:tcPr>
            <w:tcW w:w="9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DALLAS</w:t>
            </w:r>
          </w:p>
        </w:tc>
        <w:tc>
          <w:tcPr>
            <w:tcW w:w="860" w:type="dxa"/>
            <w:vAlign w:val="bottom"/>
          </w:tcPr>
          <w:p>
            <w:pPr>
              <w:ind w:left="120"/>
              <w:spacing w:after="0"/>
              <w:rPr>
                <w:sz w:val="20"/>
                <w:szCs w:val="20"/>
                <w:color w:val="auto"/>
              </w:rPr>
            </w:pPr>
            <w:r>
              <w:rPr>
                <w:rFonts w:ascii="Times New Roman" w:cs="Times New Roman" w:eastAsia="Times New Roman" w:hAnsi="Times New Roman"/>
                <w:sz w:val="20"/>
                <w:szCs w:val="20"/>
                <w:color w:val="0000FF"/>
              </w:rPr>
              <w:t>TX</w:t>
            </w:r>
          </w:p>
        </w:tc>
        <w:tc>
          <w:tcPr>
            <w:tcW w:w="130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75219</w:t>
            </w: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r>
      <w:tr>
        <w:trPr>
          <w:trHeight w:val="348"/>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r>
    </w:tbl>
    <w:p>
      <w:pPr>
        <w:spacing w:after="0" w:line="20" w:lineRule="exact"/>
        <w:rPr>
          <w:sz w:val="20"/>
          <w:szCs w:val="20"/>
          <w:color w:val="auto"/>
        </w:rPr>
      </w:pPr>
      <w:r>
        <w:rPr>
          <w:sz w:val="20"/>
          <w:szCs w:val="20"/>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7" w:lineRule="exact"/>
        <w:rPr>
          <w:sz w:val="20"/>
          <w:szCs w:val="20"/>
          <w:color w:val="auto"/>
        </w:rPr>
      </w:pPr>
    </w:p>
    <w:p>
      <w:pPr>
        <w:ind w:left="523"/>
        <w:spacing w:after="0"/>
        <w:tabs>
          <w:tab w:leader="none" w:pos="1675" w:val="left"/>
        </w:tabs>
        <w:rPr>
          <w:sz w:val="20"/>
          <w:szCs w:val="20"/>
          <w:color w:val="auto"/>
        </w:rPr>
      </w:pPr>
      <w:r>
        <w:rPr>
          <w:rFonts w:ascii="Arial" w:cs="Arial" w:eastAsia="Arial" w:hAnsi="Arial"/>
          <w:sz w:val="15"/>
          <w:szCs w:val="15"/>
          <w:color w:val="auto"/>
        </w:rPr>
        <w:t>Director</w:t>
      </w:r>
      <w:r>
        <w:rPr>
          <w:sz w:val="20"/>
          <w:szCs w:val="20"/>
          <w:color w:val="auto"/>
        </w:rPr>
        <w:tab/>
      </w:r>
      <w:r>
        <w:rPr>
          <w:sz w:val="1"/>
          <w:szCs w:val="1"/>
          <w:color w:val="auto"/>
        </w:rPr>
        <w:drawing>
          <wp:inline distT="0" distB="0" distL="0" distR="0">
            <wp:extent cx="142875" cy="1428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42875" cy="142875"/>
                    </a:xfrm>
                    <a:prstGeom prst="rect">
                      <a:avLst/>
                    </a:prstGeom>
                    <a:noFill/>
                    <a:ln>
                      <a:noFill/>
                    </a:ln>
                  </pic:spPr>
                </pic:pic>
              </a:graphicData>
            </a:graphic>
          </wp:inline>
        </w:drawing>
      </w:r>
      <w:r>
        <w:rPr>
          <w:rFonts w:ascii="Arial" w:cs="Arial" w:eastAsia="Arial" w:hAnsi="Arial"/>
          <w:sz w:val="15"/>
          <w:szCs w:val="15"/>
          <w:color w:val="auto"/>
        </w:rPr>
        <w:t xml:space="preserve">  10% Owner</w:t>
      </w:r>
    </w:p>
    <w:p>
      <w:pPr>
        <w:spacing w:after="0" w:line="45"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right="440" w:firstLine="9"/>
        <w:spacing w:after="0" w:line="234" w:lineRule="auto"/>
        <w:tabs>
          <w:tab w:leader="none" w:pos="167"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0000FF"/>
        </w:rPr>
        <w:t>03/19/2026</w:t>
      </w:r>
    </w:p>
    <w:p>
      <w:pPr>
        <w:spacing w:after="0" w:line="304" w:lineRule="exact"/>
        <w:rPr>
          <w:sz w:val="20"/>
          <w:szCs w:val="20"/>
          <w:color w:val="auto"/>
        </w:rPr>
      </w:pPr>
    </w:p>
    <w:p>
      <w:pPr>
        <w:ind w:right="480" w:firstLine="9"/>
        <w:spacing w:after="0" w:line="261" w:lineRule="auto"/>
        <w:tabs>
          <w:tab w:leader="none" w:pos="167"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60"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0"/>
          <w:szCs w:val="20"/>
          <w:color w:val="auto"/>
        </w:rPr>
      </w:pPr>
    </w:p>
    <w:p>
      <w:pPr>
        <w:ind w:left="460"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74" w:lineRule="exact"/>
        <w:rPr>
          <w:sz w:val="20"/>
          <w:szCs w:val="20"/>
          <w:color w:val="auto"/>
        </w:rPr>
      </w:pPr>
    </w:p>
    <w:p>
      <w:pPr>
        <w:sectPr>
          <w:pgSz w:w="11900" w:h="16912" w:orient="portrait"/>
          <w:cols w:equalWidth="0" w:num="3">
            <w:col w:w="4277" w:space="720"/>
            <w:col w:w="3003" w:space="260"/>
            <w:col w:w="2680"/>
          </w:cols>
          <w:pgMar w:left="480" w:top="230" w:right="479" w:bottom="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ind w:left="160"/>
              <w:spacing w:after="0"/>
              <w:rPr>
                <w:sz w:val="20"/>
                <w:szCs w:val="20"/>
                <w:color w:val="auto"/>
              </w:rPr>
            </w:pPr>
            <w:r>
              <w:rPr>
                <w:rFonts w:ascii="Arial" w:cs="Arial" w:eastAsia="Arial" w:hAnsi="Arial"/>
                <w:sz w:val="15"/>
                <w:szCs w:val="15"/>
                <w:b w:val="1"/>
                <w:bCs w:val="1"/>
                <w:color w:val="auto"/>
                <w:w w:val="99"/>
              </w:rPr>
              <w:t>2. Amount of Securities</w:t>
            </w: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20" w:type="dxa"/>
            <w:vAlign w:val="bottom"/>
            <w:gridSpan w:val="4"/>
          </w:tcPr>
          <w:p>
            <w:pPr>
              <w:ind w:left="1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14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w w:val="99"/>
              </w:rPr>
              <w:t>Ownership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tcPr>
          <w:p>
            <w:pPr>
              <w:ind w:left="160"/>
              <w:spacing w:after="0" w:line="165" w:lineRule="exact"/>
              <w:rPr>
                <w:sz w:val="20"/>
                <w:szCs w:val="20"/>
                <w:color w:val="auto"/>
              </w:rPr>
            </w:pPr>
            <w:r>
              <w:rPr>
                <w:rFonts w:ascii="Arial" w:cs="Arial" w:eastAsia="Arial" w:hAnsi="Arial"/>
                <w:sz w:val="15"/>
                <w:szCs w:val="15"/>
                <w:b w:val="1"/>
                <w:bCs w:val="1"/>
                <w:color w:val="auto"/>
              </w:rPr>
              <w:t>4)</w:t>
            </w:r>
          </w:p>
        </w:tc>
        <w:tc>
          <w:tcPr>
            <w:tcW w:w="1580" w:type="dxa"/>
            <w:vAlign w:val="bottom"/>
            <w:gridSpan w:val="3"/>
          </w:tcPr>
          <w:p>
            <w:pPr>
              <w:ind w:left="400"/>
              <w:spacing w:after="0" w:line="165" w:lineRule="exact"/>
              <w:rPr>
                <w:sz w:val="20"/>
                <w:szCs w:val="20"/>
                <w:color w:val="auto"/>
              </w:rPr>
            </w:pPr>
            <w:r>
              <w:rPr>
                <w:rFonts w:ascii="Arial" w:cs="Arial" w:eastAsia="Arial" w:hAnsi="Arial"/>
                <w:sz w:val="15"/>
                <w:szCs w:val="15"/>
                <w:b w:val="1"/>
                <w:bCs w:val="1"/>
                <w:color w:val="auto"/>
              </w:rPr>
              <w:t>(D) or Indirect</w:t>
            </w:r>
          </w:p>
        </w:tc>
        <w:tc>
          <w:tcPr>
            <w:tcW w:w="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580" w:type="dxa"/>
            <w:vAlign w:val="bottom"/>
            <w:gridSpan w:val="3"/>
          </w:tcPr>
          <w:p>
            <w:pPr>
              <w:ind w:left="400"/>
              <w:spacing w:after="0"/>
              <w:rPr>
                <w:sz w:val="20"/>
                <w:szCs w:val="20"/>
                <w:color w:val="auto"/>
              </w:rPr>
            </w:pPr>
            <w:r>
              <w:rPr>
                <w:rFonts w:ascii="Arial" w:cs="Arial" w:eastAsia="Arial" w:hAnsi="Arial"/>
                <w:sz w:val="15"/>
                <w:szCs w:val="15"/>
                <w:b w:val="1"/>
                <w:bCs w:val="1"/>
                <w:color w:val="auto"/>
              </w:rPr>
              <w:t>(I) (Instr. 5)</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tcPr>
          <w:p>
            <w:pPr>
              <w:ind w:left="660"/>
              <w:spacing w:after="0"/>
              <w:rPr>
                <w:sz w:val="20"/>
                <w:szCs w:val="20"/>
                <w:color w:val="auto"/>
              </w:rPr>
            </w:pPr>
            <w:r>
              <w:rPr>
                <w:rFonts w:ascii="Times New Roman" w:cs="Times New Roman" w:eastAsia="Times New Roman" w:hAnsi="Times New Roman"/>
                <w:sz w:val="20"/>
                <w:szCs w:val="20"/>
                <w:color w:val="0000FF"/>
              </w:rPr>
              <w:t>2,408,335</w:t>
            </w:r>
            <w:r>
              <w:rPr>
                <w:rFonts w:ascii="Times New Roman" w:cs="Times New Roman" w:eastAsia="Times New Roman" w:hAnsi="Times New Roman"/>
                <w:sz w:val="25"/>
                <w:szCs w:val="25"/>
                <w:color w:val="008000"/>
                <w:vertAlign w:val="superscript"/>
              </w:rPr>
              <w:t>(1)</w:t>
            </w:r>
          </w:p>
        </w:tc>
        <w:tc>
          <w:tcPr>
            <w:tcW w:w="1080" w:type="dxa"/>
            <w:vAlign w:val="bottom"/>
            <w:tcBorders>
              <w:bottom w:val="single" w:sz="8" w:color="2C2C2C"/>
            </w:tcBorders>
            <w:gridSpan w:val="2"/>
          </w:tcPr>
          <w:p>
            <w:pPr>
              <w:ind w:left="780"/>
              <w:spacing w:after="0" w:line="359" w:lineRule="exact"/>
              <w:rPr>
                <w:sz w:val="20"/>
                <w:szCs w:val="20"/>
                <w:color w:val="auto"/>
              </w:rPr>
            </w:pPr>
            <w:r>
              <w:rPr>
                <w:rFonts w:ascii="Times New Roman" w:cs="Times New Roman" w:eastAsia="Times New Roman" w:hAnsi="Times New Roman"/>
                <w:sz w:val="39"/>
                <w:szCs w:val="39"/>
                <w:color w:val="0000FF"/>
                <w:w w:val="82"/>
                <w:vertAlign w:val="subscript"/>
              </w:rPr>
              <w:t>D</w:t>
            </w:r>
            <w:r>
              <w:rPr>
                <w:rFonts w:ascii="Times New Roman" w:cs="Times New Roman" w:eastAsia="Times New Roman" w:hAnsi="Times New Roman"/>
                <w:sz w:val="13"/>
                <w:szCs w:val="13"/>
                <w:color w:val="008000"/>
                <w:w w:val="82"/>
              </w:rPr>
              <w:t>(2)</w:t>
            </w:r>
          </w:p>
        </w:tc>
        <w:tc>
          <w:tcPr>
            <w:tcW w:w="5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5300" w:type="dxa"/>
            <w:vAlign w:val="bottom"/>
            <w:tcBorders>
              <w:top w:val="single" w:sz="8" w:color="2C2C2C"/>
            </w:tcBorders>
            <w:gridSpan w:val="7"/>
          </w:tcPr>
          <w:p>
            <w:pPr>
              <w:ind w:left="3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420" w:type="dxa"/>
            <w:vAlign w:val="bottom"/>
            <w:tcBorders>
              <w:top w:val="single" w:sz="8" w:color="2C2C2C"/>
            </w:tcBorders>
          </w:tcPr>
          <w:p>
            <w:pPr>
              <w:spacing w:after="0"/>
              <w:rPr>
                <w:sz w:val="22"/>
                <w:szCs w:val="22"/>
                <w:color w:val="auto"/>
              </w:rPr>
            </w:pPr>
          </w:p>
        </w:tc>
        <w:tc>
          <w:tcPr>
            <w:tcW w:w="1000" w:type="dxa"/>
            <w:vAlign w:val="bottom"/>
            <w:tcBorders>
              <w:top w:val="single" w:sz="8" w:color="2C2C2C"/>
            </w:tcBorders>
          </w:tcPr>
          <w:p>
            <w:pPr>
              <w:spacing w:after="0"/>
              <w:rPr>
                <w:sz w:val="22"/>
                <w:szCs w:val="22"/>
                <w:color w:val="auto"/>
              </w:rPr>
            </w:pPr>
          </w:p>
        </w:tc>
        <w:tc>
          <w:tcPr>
            <w:tcW w:w="13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8"/>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4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80" w:type="dxa"/>
            <w:vAlign w:val="bottom"/>
          </w:tcPr>
          <w:p>
            <w:pPr>
              <w:spacing w:after="0"/>
              <w:rPr>
                <w:sz w:val="18"/>
                <w:szCs w:val="18"/>
                <w:color w:val="auto"/>
              </w:rPr>
            </w:pPr>
          </w:p>
        </w:tc>
        <w:tc>
          <w:tcPr>
            <w:tcW w:w="1880" w:type="dxa"/>
            <w:vAlign w:val="bottom"/>
            <w:gridSpan w:val="3"/>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92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500" w:type="dxa"/>
            <w:vAlign w:val="bottom"/>
          </w:tcPr>
          <w:p>
            <w:pPr>
              <w:spacing w:after="0"/>
              <w:rPr>
                <w:sz w:val="20"/>
                <w:szCs w:val="20"/>
                <w:color w:val="auto"/>
              </w:rPr>
            </w:pPr>
            <w:r>
              <w:rPr>
                <w:rFonts w:ascii="Arial" w:cs="Arial" w:eastAsia="Arial" w:hAnsi="Arial"/>
                <w:sz w:val="15"/>
                <w:szCs w:val="15"/>
                <w:b w:val="1"/>
                <w:bCs w:val="1"/>
                <w:color w:val="auto"/>
              </w:rPr>
              <w:t>4.</w:t>
            </w:r>
          </w:p>
        </w:tc>
        <w:tc>
          <w:tcPr>
            <w:tcW w:w="42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gridSpan w:val="2"/>
          </w:tcPr>
          <w:p>
            <w:pPr>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92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 (Instr.</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Conversion</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4)</w:t>
            </w: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or Exercise</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Price of</w:t>
            </w:r>
          </w:p>
        </w:tc>
        <w:tc>
          <w:tcPr>
            <w:tcW w:w="100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0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Amount or</w:t>
            </w:r>
          </w:p>
        </w:tc>
        <w:tc>
          <w:tcPr>
            <w:tcW w:w="920" w:type="dxa"/>
            <w:vAlign w:val="bottom"/>
            <w:gridSpan w:val="2"/>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080" w:type="dxa"/>
            <w:vAlign w:val="bottom"/>
            <w:gridSpan w:val="2"/>
            <w:vMerge w:val="continue"/>
          </w:tcPr>
          <w:p>
            <w:pPr>
              <w:spacing w:after="0"/>
              <w:rPr>
                <w:sz w:val="13"/>
                <w:szCs w:val="13"/>
                <w:color w:val="auto"/>
              </w:rPr>
            </w:pPr>
          </w:p>
        </w:tc>
        <w:tc>
          <w:tcPr>
            <w:tcW w:w="920" w:type="dxa"/>
            <w:vAlign w:val="bottom"/>
            <w:gridSpan w:val="2"/>
          </w:tcPr>
          <w:p>
            <w:pPr>
              <w:spacing w:after="0" w:line="150" w:lineRule="exact"/>
              <w:rPr>
                <w:sz w:val="20"/>
                <w:szCs w:val="20"/>
                <w:color w:val="auto"/>
              </w:rPr>
            </w:pPr>
            <w:r>
              <w:rPr>
                <w:rFonts w:ascii="Arial" w:cs="Arial" w:eastAsia="Arial" w:hAnsi="Arial"/>
                <w:sz w:val="15"/>
                <w:szCs w:val="15"/>
                <w:b w:val="1"/>
                <w:bCs w:val="1"/>
                <w:color w:val="auto"/>
              </w:rPr>
              <w:t>Derivative</w:t>
            </w:r>
          </w:p>
        </w:tc>
        <w:tc>
          <w:tcPr>
            <w:tcW w:w="100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40" w:type="dxa"/>
            <w:vAlign w:val="bottom"/>
          </w:tcPr>
          <w:p>
            <w:pPr>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4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108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Number of</w:t>
            </w:r>
          </w:p>
        </w:tc>
        <w:tc>
          <w:tcPr>
            <w:tcW w:w="92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Security</w:t>
            </w:r>
          </w:p>
        </w:tc>
        <w:tc>
          <w:tcPr>
            <w:tcW w:w="10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gridSpan w:val="2"/>
          </w:tcPr>
          <w:p>
            <w:pPr>
              <w:ind w:left="80"/>
              <w:spacing w:after="0"/>
              <w:rPr>
                <w:sz w:val="20"/>
                <w:szCs w:val="20"/>
                <w:color w:val="auto"/>
              </w:rPr>
            </w:pPr>
            <w:r>
              <w:rPr>
                <w:rFonts w:ascii="Arial" w:cs="Arial" w:eastAsia="Arial" w:hAnsi="Arial"/>
                <w:sz w:val="15"/>
                <w:szCs w:val="15"/>
                <w:b w:val="1"/>
                <w:bCs w:val="1"/>
                <w:color w:val="auto"/>
              </w:rPr>
              <w:t>Date</w:t>
            </w:r>
          </w:p>
        </w:tc>
        <w:tc>
          <w:tcPr>
            <w:tcW w:w="1840" w:type="dxa"/>
            <w:vAlign w:val="bottom"/>
            <w:vMerge w:val="continue"/>
          </w:tcPr>
          <w:p>
            <w:pPr>
              <w:spacing w:after="0"/>
              <w:rPr>
                <w:sz w:val="17"/>
                <w:szCs w:val="17"/>
                <w:color w:val="auto"/>
              </w:rPr>
            </w:pPr>
          </w:p>
        </w:tc>
        <w:tc>
          <w:tcPr>
            <w:tcW w:w="1080" w:type="dxa"/>
            <w:vAlign w:val="bottom"/>
            <w:gridSpan w:val="2"/>
          </w:tcPr>
          <w:p>
            <w:pPr>
              <w:spacing w:after="0"/>
              <w:rPr>
                <w:sz w:val="20"/>
                <w:szCs w:val="20"/>
                <w:color w:val="auto"/>
              </w:rPr>
            </w:pPr>
            <w:r>
              <w:rPr>
                <w:rFonts w:ascii="Arial" w:cs="Arial" w:eastAsia="Arial" w:hAnsi="Arial"/>
                <w:sz w:val="15"/>
                <w:szCs w:val="15"/>
                <w:b w:val="1"/>
                <w:bCs w:val="1"/>
                <w:color w:val="auto"/>
              </w:rPr>
              <w:t>Shares</w:t>
            </w: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90"/>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Private Warrants</w:t>
            </w:r>
          </w:p>
        </w:tc>
        <w:tc>
          <w:tcPr>
            <w:tcW w:w="10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880" w:type="dxa"/>
            <w:vAlign w:val="bottom"/>
            <w:tcBorders>
              <w:bottom w:val="single" w:sz="8" w:color="2C2C2C"/>
            </w:tcBorders>
            <w:gridSpan w:val="2"/>
          </w:tcPr>
          <w:p>
            <w:pPr>
              <w:jc w:val="right"/>
              <w:ind w:right="360"/>
              <w:spacing w:after="0"/>
              <w:rPr>
                <w:sz w:val="20"/>
                <w:szCs w:val="20"/>
                <w:color w:val="auto"/>
              </w:rPr>
            </w:pPr>
            <w:r>
              <w:rPr>
                <w:rFonts w:ascii="Times New Roman" w:cs="Times New Roman" w:eastAsia="Times New Roman" w:hAnsi="Times New Roman"/>
                <w:sz w:val="13"/>
                <w:szCs w:val="13"/>
                <w:color w:val="008000"/>
              </w:rPr>
              <w:t>(4)</w:t>
            </w:r>
          </w:p>
        </w:tc>
        <w:tc>
          <w:tcPr>
            <w:tcW w:w="18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20"/>
                <w:szCs w:val="20"/>
                <w:color w:val="0000FF"/>
              </w:rPr>
              <w:t>Common Stock</w:t>
            </w:r>
          </w:p>
        </w:tc>
        <w:tc>
          <w:tcPr>
            <w:tcW w:w="10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20"/>
                <w:szCs w:val="20"/>
                <w:color w:val="0000FF"/>
                <w:w w:val="98"/>
              </w:rPr>
              <w:t>9,422,133</w:t>
            </w:r>
            <w:r>
              <w:rPr>
                <w:rFonts w:ascii="Times New Roman" w:cs="Times New Roman" w:eastAsia="Times New Roman" w:hAnsi="Times New Roman"/>
                <w:sz w:val="25"/>
                <w:szCs w:val="25"/>
                <w:color w:val="008000"/>
                <w:w w:val="98"/>
                <w:vertAlign w:val="superscript"/>
              </w:rPr>
              <w:t>(5)</w:t>
            </w:r>
          </w:p>
        </w:tc>
        <w:tc>
          <w:tcPr>
            <w:tcW w:w="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20"/>
                <w:szCs w:val="20"/>
                <w:color w:val="0000FF"/>
              </w:rPr>
              <w:t>11.5</w:t>
            </w:r>
          </w:p>
        </w:tc>
        <w:tc>
          <w:tcPr>
            <w:tcW w:w="1000" w:type="dxa"/>
            <w:vAlign w:val="bottom"/>
            <w:tcBorders>
              <w:bottom w:val="single" w:sz="8" w:color="2C2C2C"/>
            </w:tcBorders>
          </w:tcPr>
          <w:p>
            <w:pPr>
              <w:ind w:left="32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(2)</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76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1000" w:type="dxa"/>
            <w:vAlign w:val="bottom"/>
            <w:tcBorders>
              <w:top w:val="single" w:sz="8" w:color="808080"/>
            </w:tcBorders>
            <w:shd w:val="clear" w:color="auto" w:fill="2C2C2C"/>
          </w:tcPr>
          <w:p>
            <w:pPr>
              <w:spacing w:after="0" w:line="20" w:lineRule="exact"/>
              <w:rPr>
                <w:sz w:val="1"/>
                <w:szCs w:val="1"/>
                <w:color w:val="auto"/>
              </w:rPr>
            </w:pPr>
          </w:p>
        </w:tc>
        <w:tc>
          <w:tcPr>
            <w:tcW w:w="50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Spring Valley Acquisition Sponsor II,</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tbl>
      <w:tblPr>
        <w:tblLayout w:type="fixed"/>
        <w:tblInd w:w="20" w:type="dxa"/>
        <w:tblCellMar>
          <w:top w:w="0" w:type="dxa"/>
          <w:left w:w="0" w:type="dxa"/>
          <w:bottom w:w="0" w:type="dxa"/>
          <w:right w:w="0" w:type="dxa"/>
        </w:tblCellMar>
      </w:tblPr>
      <w:tr>
        <w:trPr>
          <w:trHeight w:val="198"/>
        </w:trPr>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60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4030 MAPLE AVENUE, SUITE 500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DALLAS</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TX</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75219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60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r>
        <w:trPr>
          <w:trHeight w:val="97"/>
        </w:trPr>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r>
      <w:tr>
        <w:trPr>
          <w:trHeight w:val="285"/>
        </w:trPr>
        <w:tc>
          <w:tcPr>
            <w:tcW w:w="4340" w:type="dxa"/>
            <w:vAlign w:val="bottom"/>
            <w:gridSpan w:val="7"/>
          </w:tcPr>
          <w:p>
            <w:pPr>
              <w:ind w:left="80"/>
              <w:spacing w:after="0" w:line="286"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r>
      <w:tr>
        <w:trPr>
          <w:trHeight w:val="255"/>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80" w:type="dxa"/>
            <w:vAlign w:val="bottom"/>
            <w:gridSpan w:val="3"/>
          </w:tcPr>
          <w:p>
            <w:pPr>
              <w:spacing w:after="0" w:line="255" w:lineRule="exact"/>
              <w:rPr>
                <w:rFonts w:ascii="Times New Roman" w:cs="Times New Roman" w:eastAsia="Times New Roman" w:hAnsi="Times New Roman"/>
                <w:sz w:val="24"/>
                <w:szCs w:val="24"/>
                <w:color w:val="0000EE"/>
              </w:rPr>
            </w:pPr>
            <w:hyperlink r:id="rId13">
              <w:r>
                <w:rPr>
                  <w:rFonts w:ascii="Times New Roman" w:cs="Times New Roman" w:eastAsia="Times New Roman" w:hAnsi="Times New Roman"/>
                  <w:sz w:val="24"/>
                  <w:szCs w:val="24"/>
                  <w:color w:val="0000EE"/>
                </w:rPr>
                <w:t>Sorrells Christopher Dixon</w:t>
              </w:r>
            </w:hyperlink>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r>
      <w:tr>
        <w:trPr>
          <w:trHeight w:val="200"/>
        </w:trPr>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080" w:type="dxa"/>
            <w:vAlign w:val="bottom"/>
            <w:tcBorders>
              <w:top w:val="single" w:sz="8" w:color="0000EE"/>
              <w:bottom w:val="single" w:sz="8" w:color="9A9A9A"/>
            </w:tcBorders>
          </w:tcPr>
          <w:p>
            <w:pPr>
              <w:spacing w:after="0"/>
              <w:rPr>
                <w:sz w:val="17"/>
                <w:szCs w:val="17"/>
                <w:color w:val="auto"/>
              </w:rPr>
            </w:pPr>
          </w:p>
        </w:tc>
        <w:tc>
          <w:tcPr>
            <w:tcW w:w="1520" w:type="dxa"/>
            <w:vAlign w:val="bottom"/>
            <w:tcBorders>
              <w:top w:val="single" w:sz="8" w:color="0000EE"/>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4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(Last)</w:t>
            </w:r>
          </w:p>
        </w:tc>
        <w:tc>
          <w:tcPr>
            <w:tcW w:w="1600" w:type="dxa"/>
            <w:vAlign w:val="bottom"/>
            <w:gridSpan w:val="2"/>
          </w:tcPr>
          <w:p>
            <w:pPr>
              <w:ind w:left="300"/>
              <w:spacing w:after="0"/>
              <w:rPr>
                <w:sz w:val="20"/>
                <w:szCs w:val="20"/>
                <w:color w:val="auto"/>
              </w:rPr>
            </w:pPr>
            <w:r>
              <w:rPr>
                <w:rFonts w:ascii="Arial" w:cs="Arial" w:eastAsia="Arial" w:hAnsi="Arial"/>
                <w:sz w:val="15"/>
                <w:szCs w:val="15"/>
                <w:color w:val="auto"/>
              </w:rPr>
              <w:t>(First)</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(Middle)</w:t>
            </w:r>
          </w:p>
        </w:tc>
      </w:tr>
      <w:tr>
        <w:trPr>
          <w:trHeight w:val="310"/>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2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4030 MAPLE AVENUE, SUITE 500</w:t>
            </w:r>
          </w:p>
        </w:tc>
      </w:tr>
      <w:tr>
        <w:trPr>
          <w:trHeight w:val="237"/>
        </w:trPr>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80" w:type="dxa"/>
            <w:vAlign w:val="bottom"/>
            <w:tcBorders>
              <w:bottom w:val="single" w:sz="8" w:color="9A9A9A"/>
            </w:tcBorders>
          </w:tcPr>
          <w:p>
            <w:pPr>
              <w:spacing w:after="0"/>
              <w:rPr>
                <w:sz w:val="20"/>
                <w:szCs w:val="20"/>
                <w:color w:val="auto"/>
              </w:rPr>
            </w:pPr>
          </w:p>
        </w:tc>
        <w:tc>
          <w:tcPr>
            <w:tcW w:w="1520" w:type="dxa"/>
            <w:vAlign w:val="bottom"/>
            <w:tcBorders>
              <w:bottom w:val="single" w:sz="8" w:color="9A9A9A"/>
            </w:tcBorders>
          </w:tcPr>
          <w:p>
            <w:pPr>
              <w:spacing w:after="0"/>
              <w:rPr>
                <w:sz w:val="20"/>
                <w:szCs w:val="20"/>
                <w:color w:val="auto"/>
              </w:rPr>
            </w:pPr>
          </w:p>
        </w:tc>
        <w:tc>
          <w:tcPr>
            <w:tcW w:w="80" w:type="dxa"/>
            <w:vAlign w:val="bottom"/>
            <w:tcBorders>
              <w:bottom w:val="single" w:sz="8" w:color="9A9A9A"/>
            </w:tcBorders>
          </w:tcPr>
          <w:p>
            <w:pPr>
              <w:spacing w:after="0"/>
              <w:rPr>
                <w:sz w:val="20"/>
                <w:szCs w:val="20"/>
                <w:color w:val="auto"/>
              </w:rPr>
            </w:pPr>
          </w:p>
        </w:tc>
        <w:tc>
          <w:tcPr>
            <w:tcW w:w="14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r>
      <w:tr>
        <w:trPr>
          <w:trHeight w:val="303"/>
        </w:trPr>
        <w:tc>
          <w:tcPr>
            <w:tcW w:w="12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65"/>
        </w:trPr>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20"/>
                <w:szCs w:val="20"/>
                <w:color w:val="0000FF"/>
              </w:rPr>
              <w:t>DALLAS</w:t>
            </w:r>
          </w:p>
        </w:tc>
        <w:tc>
          <w:tcPr>
            <w:tcW w:w="1600" w:type="dxa"/>
            <w:vAlign w:val="bottom"/>
            <w:gridSpan w:val="2"/>
          </w:tcPr>
          <w:p>
            <w:pPr>
              <w:ind w:left="300"/>
              <w:spacing w:after="0"/>
              <w:rPr>
                <w:sz w:val="20"/>
                <w:szCs w:val="20"/>
                <w:color w:val="auto"/>
              </w:rPr>
            </w:pPr>
            <w:r>
              <w:rPr>
                <w:rFonts w:ascii="Times New Roman" w:cs="Times New Roman" w:eastAsia="Times New Roman" w:hAnsi="Times New Roman"/>
                <w:sz w:val="20"/>
                <w:szCs w:val="20"/>
                <w:color w:val="0000FF"/>
              </w:rPr>
              <w:t>TX</w:t>
            </w:r>
          </w:p>
        </w:tc>
        <w:tc>
          <w:tcPr>
            <w:tcW w:w="142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75219</w:t>
            </w:r>
          </w:p>
        </w:tc>
        <w:tc>
          <w:tcPr>
            <w:tcW w:w="120" w:type="dxa"/>
            <w:vAlign w:val="bottom"/>
          </w:tcPr>
          <w:p>
            <w:pPr>
              <w:spacing w:after="0"/>
              <w:rPr>
                <w:sz w:val="23"/>
                <w:szCs w:val="23"/>
                <w:color w:val="auto"/>
              </w:rPr>
            </w:pPr>
          </w:p>
        </w:tc>
      </w:tr>
      <w:tr>
        <w:trPr>
          <w:trHeight w:val="177"/>
        </w:trPr>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r>
      <w:tr>
        <w:trPr>
          <w:trHeight w:val="34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5"/>
                <w:szCs w:val="15"/>
                <w:color w:val="auto"/>
              </w:rPr>
              <w:t>(City)</w:t>
            </w:r>
          </w:p>
        </w:tc>
        <w:tc>
          <w:tcPr>
            <w:tcW w:w="1600" w:type="dxa"/>
            <w:vAlign w:val="bottom"/>
            <w:gridSpan w:val="2"/>
          </w:tcPr>
          <w:p>
            <w:pPr>
              <w:ind w:left="300"/>
              <w:spacing w:after="0"/>
              <w:rPr>
                <w:sz w:val="20"/>
                <w:szCs w:val="20"/>
                <w:color w:val="auto"/>
              </w:rPr>
            </w:pPr>
            <w:r>
              <w:rPr>
                <w:rFonts w:ascii="Arial" w:cs="Arial" w:eastAsia="Arial" w:hAnsi="Arial"/>
                <w:sz w:val="15"/>
                <w:szCs w:val="15"/>
                <w:color w:val="auto"/>
              </w:rPr>
              <w:t>(State)</w:t>
            </w:r>
          </w:p>
        </w:tc>
        <w:tc>
          <w:tcPr>
            <w:tcW w:w="1540" w:type="dxa"/>
            <w:vAlign w:val="bottom"/>
            <w:gridSpan w:val="2"/>
          </w:tcPr>
          <w:p>
            <w:pPr>
              <w:ind w:left="8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left="40" w:right="160" w:firstLine="5"/>
        <w:spacing w:after="0" w:line="294" w:lineRule="auto"/>
        <w:tabs>
          <w:tab w:leader="none" w:pos="190" w:val="left"/>
        </w:tabs>
        <w:numPr>
          <w:ilvl w:val="0"/>
          <w:numId w:val="4"/>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Pursuant to that certain Amended and Restated Agreement and Plan of Merger (the "Merger Agreement"), dated as of September 29, 2025, by and among Eagle Nuclear Energy Corp. (the "Issuer"), Spring Valley Acquisition Corp. II ("SVII"), Eagle Energy Metals Corp., Spring Valley Merger Sub III, Inc., and Spring Valley Merger Sub II, Inc., Spring</w:t>
      </w:r>
    </w:p>
    <w:p>
      <w:pPr>
        <w:sectPr>
          <w:pgSz w:w="11900" w:h="16912" w:orient="portrait"/>
          <w:cols w:equalWidth="0" w:num="1">
            <w:col w:w="10940"/>
          </w:cols>
          <w:pgMar w:left="480" w:top="230" w:right="479" w:bottom="0" w:gutter="0" w:footer="0" w:header="0"/>
          <w:type w:val="continuous"/>
        </w:sectPr>
      </w:pPr>
    </w:p>
    <w:bookmarkStart w:id="1" w:name="page2"/>
    <w:bookmarkEnd w:id="1"/>
    <w:p>
      <w:pPr>
        <w:ind w:right="100"/>
        <w:spacing w:after="0" w:line="259" w:lineRule="auto"/>
        <w:rPr>
          <w:sz w:val="20"/>
          <w:szCs w:val="20"/>
          <w:color w:val="auto"/>
        </w:rPr>
      </w:pPr>
      <w:r>
        <w:rPr>
          <w:rFonts w:ascii="Times New Roman" w:cs="Times New Roman" w:eastAsia="Times New Roman" w:hAnsi="Times New Roman"/>
          <w:sz w:val="15"/>
          <w:szCs w:val="15"/>
          <w:color w:val="008000"/>
        </w:rPr>
        <w:t>Valley Acquisition Sponsor II, LLC (the "Sponsor") received 2,408,335 of the Issuer's common stock, par value $0.01 per share ("Common Stock"), in exchange for the 2,408,335 SVII Class B founder shares, par value $0.001 per share, that the Sponsor held, prior to the effective time of the merger.</w:t>
      </w:r>
    </w:p>
    <w:p>
      <w:pPr>
        <w:spacing w:after="0" w:line="18" w:lineRule="exact"/>
        <w:rPr>
          <w:sz w:val="20"/>
          <w:szCs w:val="20"/>
          <w:color w:val="auto"/>
        </w:rPr>
      </w:pPr>
    </w:p>
    <w:p>
      <w:pPr>
        <w:ind w:firstLine="5"/>
        <w:spacing w:after="0" w:line="270" w:lineRule="auto"/>
        <w:tabs>
          <w:tab w:leader="none" w:pos="150" w:val="left"/>
        </w:tabs>
        <w:numPr>
          <w:ilvl w:val="0"/>
          <w:numId w:val="5"/>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reported securities are held directly by the Sponsor. The Sponsor is controlled by Mr. Christopher Sorrells. Accordingly, all of the shares held by the Sponsor may be deemed to be beneficially held by Mr. Sorrells. Each reporting person under this Form 3 disclaims beneficial ownership of the reported securities except to the extent of their respective pecuniary interest therein and the filing of this Form 3 shall not be construed as an admission that any such reporting person is the beneficial owner of any such securities.</w:t>
      </w:r>
    </w:p>
    <w:p>
      <w:pPr>
        <w:spacing w:after="0" w:line="11" w:lineRule="exact"/>
        <w:rPr>
          <w:rFonts w:ascii="Times New Roman" w:cs="Times New Roman" w:eastAsia="Times New Roman" w:hAnsi="Times New Roman"/>
          <w:sz w:val="14"/>
          <w:szCs w:val="14"/>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warrant will become exercisable on March 26, 2026.</w:t>
      </w:r>
    </w:p>
    <w:p>
      <w:pPr>
        <w:spacing w:after="0" w:line="52" w:lineRule="exact"/>
        <w:rPr>
          <w:rFonts w:ascii="Times New Roman" w:cs="Times New Roman" w:eastAsia="Times New Roman" w:hAnsi="Times New Roman"/>
          <w:sz w:val="15"/>
          <w:szCs w:val="15"/>
          <w:color w:val="008000"/>
        </w:rPr>
      </w:pPr>
    </w:p>
    <w:p>
      <w:pPr>
        <w:ind w:left="160" w:hanging="155"/>
        <w:spacing w:after="0"/>
        <w:tabs>
          <w:tab w:leader="none" w:pos="16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Each warrant will expire on February 24, 2031, or earlier upon redemption.</w:t>
      </w:r>
    </w:p>
    <w:p>
      <w:pPr>
        <w:spacing w:after="0" w:line="52" w:lineRule="exact"/>
        <w:rPr>
          <w:rFonts w:ascii="Times New Roman" w:cs="Times New Roman" w:eastAsia="Times New Roman" w:hAnsi="Times New Roman"/>
          <w:sz w:val="15"/>
          <w:szCs w:val="15"/>
          <w:color w:val="008000"/>
        </w:rPr>
      </w:pPr>
    </w:p>
    <w:p>
      <w:pPr>
        <w:ind w:right="120" w:firstLine="5"/>
        <w:spacing w:after="0" w:line="244" w:lineRule="auto"/>
        <w:tabs>
          <w:tab w:leader="none" w:pos="150" w:val="left"/>
        </w:tabs>
        <w:numPr>
          <w:ilvl w:val="0"/>
          <w:numId w:val="5"/>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Pursuant to the Merger Agreement, the Sponsor received (i) 1,500,000 of the Issuer's private warrants in settlement of outstanding working capital loans; (ii) 922,133 additional private warrants pursuant to a Sponsor Agreement related to the Merger Agreement; and (iii) 7,000,000 private warrants in exchange for 7,000,000 SVII warrants at an exercise price of $11.50 per share, that the Sponsor held.</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5"/>
          <w:szCs w:val="15"/>
          <w:color w:val="008000"/>
        </w:rPr>
        <w:t>This Form 3/A amends the Form 3 filing, dated March 19, 2026 (the "Original Form 3/A"), which was intended to be filed as an Amendment and was inadvertently filed as a Form 3. Other than these changes, this form contains no amendment to the Original Form 3/A.</w:t>
      </w:r>
    </w:p>
    <w:p>
      <w:pPr>
        <w:spacing w:after="0" w:line="28" w:lineRule="exact"/>
        <w:rPr>
          <w:sz w:val="20"/>
          <w:szCs w:val="20"/>
          <w:color w:val="auto"/>
        </w:rPr>
      </w:pPr>
    </w:p>
    <w:tbl>
      <w:tblPr>
        <w:tblLayout w:type="fixed"/>
        <w:tblInd w:w="6540" w:type="dxa"/>
        <w:tblCellMar>
          <w:top w:w="0" w:type="dxa"/>
          <w:left w:w="0" w:type="dxa"/>
          <w:bottom w:w="0" w:type="dxa"/>
          <w:right w:w="0" w:type="dxa"/>
        </w:tblCellMar>
      </w:tblPr>
      <w:tr>
        <w:trPr>
          <w:trHeight w:val="230"/>
        </w:trPr>
        <w:tc>
          <w:tcPr>
            <w:tcW w:w="20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20"/>
                <w:szCs w:val="20"/>
                <w:color w:val="0000FF"/>
                <w:w w:val="95"/>
              </w:rPr>
              <w:t>Spring Valley Acquisition</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21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Sponsor II, LLC, By: /s/</w:t>
            </w:r>
          </w:p>
        </w:tc>
        <w:tc>
          <w:tcPr>
            <w:tcW w:w="900" w:type="dxa"/>
            <w:vAlign w:val="bottom"/>
          </w:tcPr>
          <w:p>
            <w:pPr>
              <w:spacing w:after="0"/>
              <w:rPr>
                <w:sz w:val="19"/>
                <w:szCs w:val="19"/>
                <w:color w:val="auto"/>
              </w:rPr>
            </w:pPr>
          </w:p>
        </w:tc>
      </w:tr>
      <w:tr>
        <w:trPr>
          <w:trHeight w:val="220"/>
        </w:trPr>
        <w:tc>
          <w:tcPr>
            <w:tcW w:w="1880" w:type="dxa"/>
            <w:vAlign w:val="bottom"/>
            <w:tcBorders>
              <w:top w:val="single" w:sz="8" w:color="auto"/>
            </w:tcBorders>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Christopher Sorrells</w:t>
            </w:r>
          </w:p>
        </w:tc>
        <w:tc>
          <w:tcPr>
            <w:tcW w:w="300" w:type="dxa"/>
            <w:vAlign w:val="bottom"/>
            <w:gridSpan w:val="2"/>
          </w:tcPr>
          <w:p>
            <w:pPr>
              <w:spacing w:after="0"/>
              <w:rPr>
                <w:sz w:val="19"/>
                <w:szCs w:val="19"/>
                <w:color w:val="auto"/>
              </w:rPr>
            </w:pPr>
          </w:p>
        </w:tc>
        <w:tc>
          <w:tcPr>
            <w:tcW w:w="900" w:type="dxa"/>
            <w:vAlign w:val="bottom"/>
          </w:tcPr>
          <w:p>
            <w:pPr>
              <w:jc w:val="right"/>
              <w:spacing w:after="0" w:line="220" w:lineRule="exact"/>
              <w:rPr>
                <w:sz w:val="20"/>
                <w:szCs w:val="20"/>
                <w:color w:val="auto"/>
              </w:rPr>
            </w:pPr>
            <w:r>
              <w:rPr>
                <w:rFonts w:ascii="Times New Roman" w:cs="Times New Roman" w:eastAsia="Times New Roman" w:hAnsi="Times New Roman"/>
                <w:sz w:val="20"/>
                <w:szCs w:val="20"/>
                <w:color w:val="0000FF"/>
                <w:w w:val="96"/>
              </w:rPr>
              <w:t>04/28/2026</w:t>
            </w:r>
          </w:p>
        </w:tc>
      </w:tr>
      <w:tr>
        <w:trPr>
          <w:trHeight w:val="220"/>
        </w:trPr>
        <w:tc>
          <w:tcPr>
            <w:tcW w:w="156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Name: Christopher</w:t>
            </w:r>
          </w:p>
        </w:tc>
        <w:tc>
          <w:tcPr>
            <w:tcW w:w="620" w:type="dxa"/>
            <w:vAlign w:val="bottom"/>
            <w:gridSpan w:val="4"/>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20"/>
        </w:trPr>
        <w:tc>
          <w:tcPr>
            <w:tcW w:w="2180" w:type="dxa"/>
            <w:vAlign w:val="bottom"/>
            <w:gridSpan w:val="6"/>
          </w:tcPr>
          <w:p>
            <w:pPr>
              <w:spacing w:after="0" w:line="220" w:lineRule="exact"/>
              <w:rPr>
                <w:sz w:val="20"/>
                <w:szCs w:val="20"/>
                <w:color w:val="auto"/>
              </w:rPr>
            </w:pPr>
            <w:r>
              <w:rPr>
                <w:rFonts w:ascii="Times New Roman" w:cs="Times New Roman" w:eastAsia="Times New Roman" w:hAnsi="Times New Roman"/>
                <w:sz w:val="20"/>
                <w:szCs w:val="20"/>
                <w:color w:val="0000FF"/>
              </w:rPr>
              <w:t>Sorrells Title: Manager</w:t>
            </w:r>
          </w:p>
        </w:tc>
        <w:tc>
          <w:tcPr>
            <w:tcW w:w="900" w:type="dxa"/>
            <w:vAlign w:val="bottom"/>
          </w:tcPr>
          <w:p>
            <w:pPr>
              <w:spacing w:after="0"/>
              <w:rPr>
                <w:sz w:val="19"/>
                <w:szCs w:val="19"/>
                <w:color w:val="auto"/>
              </w:rPr>
            </w:pPr>
          </w:p>
        </w:tc>
      </w:tr>
      <w:tr>
        <w:trPr>
          <w:trHeight w:val="20"/>
        </w:trPr>
        <w:tc>
          <w:tcPr>
            <w:tcW w:w="1800" w:type="dxa"/>
            <w:vAlign w:val="bottom"/>
            <w:gridSpan w:val="3"/>
            <w:shd w:val="clear" w:color="auto" w:fill="000000"/>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280"/>
        </w:trPr>
        <w:tc>
          <w:tcPr>
            <w:tcW w:w="218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 Christopher Sorrells</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w w:val="96"/>
              </w:rPr>
              <w:t>04/28/2026</w:t>
            </w:r>
          </w:p>
        </w:tc>
      </w:tr>
      <w:tr>
        <w:trPr>
          <w:trHeight w:val="20"/>
        </w:trPr>
        <w:tc>
          <w:tcPr>
            <w:tcW w:w="14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80" w:firstLine="5"/>
        <w:spacing w:after="0" w:line="335" w:lineRule="auto"/>
        <w:tabs>
          <w:tab w:leader="none" w:pos="159" w:val="left"/>
        </w:tabs>
        <w:numPr>
          <w:ilvl w:val="0"/>
          <w:numId w:val="6"/>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20" w:top="125"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1."/>
      <w:numFmt w:val="decimal"/>
      <w:start w:val="6"/>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jpeg"/><Relationship Id="rId10" Type="http://schemas.openxmlformats.org/officeDocument/2006/relationships/hyperlink" Target="http://www.sec.gov/cgi-bin/browse-edgar?action=getcompany&amp;CIK=0001843474" TargetMode="External"/><Relationship Id="rId11" Type="http://schemas.openxmlformats.org/officeDocument/2006/relationships/hyperlink" Target="http://www.sec.gov/cgi-bin/browse-edgar?action=getcompany&amp;CIK=0002089283" TargetMode="External"/><Relationship Id="rId13" Type="http://schemas.openxmlformats.org/officeDocument/2006/relationships/hyperlink" Target="http://www.sec.gov/cgi-bin/browse-edgar?action=getcompany&amp;CIK=00014774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2026-04-28T07:57:17Z</dcterms:created>
  <dcterms:modified xsi:type="dcterms:W3CDTF">2026-04-28T07:57:17Z</dcterms:modified>
</cp:coreProperties>
</file>