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mb-20260531x10q.htm"/>
        <w:bookmarkStart w:id="1" w:name="kstmb202605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bookmarkStart w:id="2" w:name="_9674bee9_eede_4eba_bbf9_06888fe10a01"/>
      <w:bookmarkEnd w:id="2"/>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(Mark One)</w:t>
      </w:r>
    </w:p>
    <w:p>
      <w:pPr>
        <w:pStyle w:val="TextBody"/>
        <w:bidi w:val="0"/>
        <w:spacing w:before="0" w:after="120"/>
        <w:ind w:left="0" w:right="0" w:hanging="0"/>
        <w:jc w:val="left"/>
        <w:rPr/>
      </w:pPr>
      <w:r>
        <w:rPr/>
        <w:t>☒ </w:t>
      </w:r>
      <w:r>
        <w:rPr>
          <w:rFonts w:ascii="Times New Roman;Times;serif" w:hAnsi="Times New Roman;Times;serif"/>
          <w:sz w:val="18"/>
        </w:rPr>
        <w:t>QUARTERLY REPORT PURSUANT TO SECTION 13 OR 15(d) OF THE SECURITIES EXCHANGE ACT OF 1934</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For the quarterly period ended May 31, 2026</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OR</w:t>
      </w:r>
    </w:p>
    <w:p>
      <w:pPr>
        <w:pStyle w:val="TextBody"/>
        <w:bidi w:val="0"/>
        <w:spacing w:before="0" w:after="120"/>
        <w:ind w:left="0" w:right="0" w:hanging="0"/>
        <w:jc w:val="left"/>
        <w:rPr/>
      </w:pPr>
      <w:r>
        <w:rPr/>
        <w:t>☐ </w:t>
      </w:r>
      <w:r>
        <w:rPr>
          <w:rFonts w:ascii="Times New Roman;Times;serif" w:hAnsi="Times New Roman;Times;serif"/>
          <w:sz w:val="18"/>
        </w:rPr>
        <w:t>TRANSITION REPORT PURSUANT TO SECTION 13 OR 15(d) OF THE SECURITIES EXCHANGE ACT OF 1934</w:t>
      </w:r>
    </w:p>
    <w:p>
      <w:pPr>
        <w:pStyle w:val="TextBody"/>
        <w:bidi w:val="0"/>
        <w:spacing w:before="0" w:after="120"/>
        <w:ind w:left="0" w:right="0" w:hanging="0"/>
        <w:jc w:val="left"/>
        <w:rPr>
          <w:rFonts w:ascii="Times New Roman;Times;serif" w:hAnsi="Times New Roman;Times;serif"/>
          <w:sz w:val="18"/>
        </w:rPr>
      </w:pPr>
      <w:r>
        <w:rPr>
          <w:rFonts w:ascii="Times New Roman;Times;serif" w:hAnsi="Times New Roman;Times;serif"/>
          <w:sz w:val="18"/>
        </w:rPr>
        <w:t>For the transition period from __________ to _________</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Commission File Number: 001-43162</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Eagle Nuclear Energy Corp.</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Normal"/>
        <w:bidi w:val="0"/>
        <w:spacing w:before="0" w:after="0"/>
        <w:jc w:val="left"/>
        <w:rPr>
          <w:sz w:val="4"/>
          <w:szCs w:val="4"/>
        </w:rPr>
      </w:pPr>
      <w:r>
        <w:rPr>
          <w:sz w:val="4"/>
          <w:szCs w:val="4"/>
        </w:rPr>
      </w:r>
      <w:bookmarkStart w:id="3" w:name="Tc_iter9w7PW0qF8yEthCcKag_1_2"/>
      <w:bookmarkStart w:id="4" w:name="Tc_LPvhJOulG0q-xhhr8v4p9A_1_0"/>
      <w:bookmarkStart w:id="5" w:name="_205e5dcf_6fe1_4f89_9fca_acc2ef13a390"/>
      <w:bookmarkStart w:id="6" w:name="Tc_iter9w7PW0qF8yEthCcKag_1_2"/>
      <w:bookmarkStart w:id="7" w:name="Tc_LPvhJOulG0q-xhhr8v4p9A_1_0"/>
      <w:bookmarkStart w:id="8" w:name="_205e5dcf_6fe1_4f89_9fca_acc2ef13a390"/>
      <w:bookmarkEnd w:id="6"/>
      <w:bookmarkEnd w:id="7"/>
      <w:bookmarkEnd w:id="8"/>
    </w:p>
    <w:tbl>
      <w:tblPr>
        <w:tblW w:w="6108" w:type="dxa"/>
        <w:jc w:val="left"/>
        <w:tblInd w:w="0" w:type="dxa"/>
        <w:tblLayout w:type="fixed"/>
        <w:tblCellMar>
          <w:top w:w="0" w:type="dxa"/>
          <w:left w:w="0" w:type="dxa"/>
          <w:bottom w:w="28" w:type="dxa"/>
          <w:right w:w="0" w:type="dxa"/>
        </w:tblCellMar>
      </w:tblPr>
      <w:tblGrid>
        <w:gridCol w:w="3136"/>
        <w:gridCol w:w="346"/>
        <w:gridCol w:w="2626"/>
      </w:tblGrid>
      <w:tr>
        <w:trPr/>
        <w:tc>
          <w:tcPr>
            <w:tcW w:w="313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Nevada</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26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41-3113978</w:t>
            </w:r>
          </w:p>
        </w:tc>
      </w:tr>
      <w:tr>
        <w:trPr/>
        <w:tc>
          <w:tcPr>
            <w:tcW w:w="313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organization)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6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 w:name="Tc_pBbcQYhqCUuqZsLSszicJA_1_2"/>
      <w:bookmarkStart w:id="10" w:name="Tc_eSF1G26OrUeZcnY4GiUAMQ_1_0"/>
      <w:bookmarkStart w:id="11" w:name="Tc_U1NA-q4mLE64EnQLgwk0Fw_0_0"/>
      <w:bookmarkStart w:id="12" w:name="_02ec77ba_5580_4910_8fb6_57e44d37032d"/>
      <w:bookmarkStart w:id="13" w:name="Tc_pBbcQYhqCUuqZsLSszicJA_1_2"/>
      <w:bookmarkStart w:id="14" w:name="Tc_eSF1G26OrUeZcnY4GiUAMQ_1_0"/>
      <w:bookmarkStart w:id="15" w:name="Tc_U1NA-q4mLE64EnQLgwk0Fw_0_0"/>
      <w:bookmarkStart w:id="16" w:name="_02ec77ba_5580_4910_8fb6_57e44d37032d"/>
      <w:bookmarkEnd w:id="13"/>
      <w:bookmarkEnd w:id="14"/>
      <w:bookmarkEnd w:id="15"/>
      <w:bookmarkEnd w:id="16"/>
    </w:p>
    <w:tbl>
      <w:tblPr>
        <w:tblW w:w="4158" w:type="dxa"/>
        <w:jc w:val="left"/>
        <w:tblInd w:w="0" w:type="dxa"/>
        <w:tblLayout w:type="fixed"/>
        <w:tblCellMar>
          <w:top w:w="0" w:type="dxa"/>
          <w:left w:w="0" w:type="dxa"/>
          <w:bottom w:w="28" w:type="dxa"/>
          <w:right w:w="0" w:type="dxa"/>
        </w:tblCellMar>
      </w:tblPr>
      <w:tblGrid>
        <w:gridCol w:w="2926"/>
        <w:gridCol w:w="346"/>
        <w:gridCol w:w="886"/>
      </w:tblGrid>
      <w:tr>
        <w:trPr/>
        <w:tc>
          <w:tcPr>
            <w:tcW w:w="29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5470 Kietzke Lane, Suite 300</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Reno, NV</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88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89511</w:t>
            </w:r>
          </w:p>
        </w:tc>
      </w:tr>
      <w:tr>
        <w:trPr/>
        <w:tc>
          <w:tcPr>
            <w:tcW w:w="29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8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(775) 335-2029</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 Applicable</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(Former name or former address, if changed since last report)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hTf7odtF9EqwUoh-a-K1dw_2_4"/>
      <w:bookmarkStart w:id="18" w:name="Tc_HSmGgqeidkSHZP5d-85OtA_1_4"/>
      <w:bookmarkStart w:id="19" w:name="Tc_cUgH_oFZBUG0HsSgWsr_jw_0_4"/>
      <w:bookmarkStart w:id="20" w:name="Tc_Imp8-92tkECu41BPNCrJIQ_0_2"/>
      <w:bookmarkStart w:id="21" w:name="Tc_O2VI-VPCpEOHtXCkL7SWew_0_0"/>
      <w:bookmarkStart w:id="22" w:name="_4efa9552_c83d_4d48_9132_2e0d56587f79"/>
      <w:bookmarkStart w:id="23" w:name="Tc_hTf7odtF9EqwUoh-a-K1dw_2_4"/>
      <w:bookmarkStart w:id="24" w:name="Tc_HSmGgqeidkSHZP5d-85OtA_1_4"/>
      <w:bookmarkStart w:id="25" w:name="Tc_cUgH_oFZBUG0HsSgWsr_jw_0_4"/>
      <w:bookmarkStart w:id="26" w:name="Tc_Imp8-92tkECu41BPNCrJIQ_0_2"/>
      <w:bookmarkStart w:id="27" w:name="Tc_O2VI-VPCpEOHtXCkL7SWew_0_0"/>
      <w:bookmarkStart w:id="28" w:name="_4efa9552_c83d_4d48_9132_2e0d56587f79"/>
      <w:bookmarkEnd w:id="23"/>
      <w:bookmarkEnd w:id="24"/>
      <w:bookmarkEnd w:id="25"/>
      <w:bookmarkEnd w:id="26"/>
      <w:bookmarkEnd w:id="27"/>
      <w:bookmarkEnd w:id="28"/>
    </w:p>
    <w:tbl>
      <w:tblPr>
        <w:tblW w:w="10205" w:type="dxa"/>
        <w:jc w:val="left"/>
        <w:tblInd w:w="0" w:type="dxa"/>
        <w:tblLayout w:type="fixed"/>
        <w:tblCellMar>
          <w:top w:w="0" w:type="dxa"/>
          <w:left w:w="0" w:type="dxa"/>
          <w:bottom w:w="28" w:type="dxa"/>
          <w:right w:w="0" w:type="dxa"/>
        </w:tblCellMar>
      </w:tblPr>
      <w:tblGrid>
        <w:gridCol w:w="5651"/>
        <w:gridCol w:w="346"/>
        <w:gridCol w:w="1282"/>
        <w:gridCol w:w="346"/>
        <w:gridCol w:w="2580"/>
      </w:tblGrid>
      <w:tr>
        <w:trPr/>
        <w:tc>
          <w:tcPr>
            <w:tcW w:w="565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1282"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258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565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par value $0.0001 per share</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1282"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NUCL</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2580"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Capital Market</w:t>
            </w:r>
          </w:p>
        </w:tc>
      </w:tr>
      <w:tr>
        <w:trPr/>
        <w:tc>
          <w:tcPr>
            <w:tcW w:w="565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Public Warrants, each warrant exercisable for one share of Common Stock at an exercise price of $11.50 per share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8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NUCLW</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58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Capital Market</w:t>
            </w:r>
          </w:p>
        </w:tc>
      </w:tr>
    </w:tbl>
    <w:p>
      <w:pPr>
        <w:pStyle w:val="TextBody"/>
        <w:bidi w:val="0"/>
        <w:spacing w:before="0" w:after="0"/>
        <w:ind w:left="0" w:right="0" w:hanging="0"/>
        <w:jc w:val="left"/>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as amended, during the preceding 12 months (or for such shorter period than the registrant was required to file such reports), and (2) has been subject to such filing requirements for the past 90 days. Yes </w:t>
      </w:r>
      <w:r>
        <w:rPr>
          <w:rFonts w:ascii="Times New Roman;Times;serif" w:hAnsi="Times New Roman;Times;serif"/>
          <w:sz w:val="20"/>
        </w:rPr>
        <w:t>☐ </w:t>
      </w:r>
      <w:r>
        <w:rPr>
          <w:rFonts w:ascii="Times New Roman;Times;serif" w:hAnsi="Times New Roman;Times;serif"/>
          <w:sz w:val="18"/>
        </w:rPr>
        <w:t>No</w:t>
      </w:r>
      <w:r>
        <w:rPr>
          <w:rFonts w:ascii="Times New Roman;Times;serif" w:hAnsi="Times New Roman;Times;serif"/>
          <w:sz w:val="20"/>
        </w:rPr>
        <w:t> ☒</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20"/>
        <w:ind w:left="0" w:right="0" w:firstLine="72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29" w:name="Tc_qWKej4Pby0K6wX1dGXBheg_2_2"/>
      <w:bookmarkStart w:id="30" w:name="Tc_BCDEr2anZUu_FcnuFhFzbA_1_2"/>
      <w:bookmarkStart w:id="31" w:name="Tc_Ke37LV8zckC8o5nVwwLDpA_1_1"/>
      <w:bookmarkStart w:id="32" w:name="Tc_ppLcjk-QjEWHonBJEC3dEw_0_3"/>
      <w:bookmarkStart w:id="33" w:name="Tc_k4NOxvEiHUuXq2hDr9yeZw_0_2"/>
      <w:bookmarkStart w:id="34" w:name="Tc_6YweSWinY0WVdK5SSdDESA_0_1"/>
      <w:bookmarkStart w:id="35" w:name="Tc_WPawY11GQ0Wk1zs-mx-F8Q_0_0"/>
      <w:bookmarkStart w:id="36" w:name="_3b042f92_4a2c_49ba_9b90_697d20cf4f85"/>
      <w:bookmarkStart w:id="37" w:name="Tc_qWKej4Pby0K6wX1dGXBheg_2_2"/>
      <w:bookmarkStart w:id="38" w:name="Tc_BCDEr2anZUu_FcnuFhFzbA_1_2"/>
      <w:bookmarkStart w:id="39" w:name="Tc_Ke37LV8zckC8o5nVwwLDpA_1_1"/>
      <w:bookmarkStart w:id="40" w:name="Tc_ppLcjk-QjEWHonBJEC3dEw_0_3"/>
      <w:bookmarkStart w:id="41" w:name="Tc_k4NOxvEiHUuXq2hDr9yeZw_0_2"/>
      <w:bookmarkStart w:id="42" w:name="Tc_6YweSWinY0WVdK5SSdDESA_0_1"/>
      <w:bookmarkStart w:id="43" w:name="Tc_WPawY11GQ0Wk1zs-mx-F8Q_0_0"/>
      <w:bookmarkStart w:id="44" w:name="_3b042f92_4a2c_49ba_9b90_697d20cf4f85"/>
      <w:bookmarkEnd w:id="37"/>
      <w:bookmarkEnd w:id="38"/>
      <w:bookmarkEnd w:id="39"/>
      <w:bookmarkEnd w:id="40"/>
      <w:bookmarkEnd w:id="41"/>
      <w:bookmarkEnd w:id="42"/>
      <w:bookmarkEnd w:id="43"/>
      <w:bookmarkEnd w:id="44"/>
    </w:p>
    <w:tbl>
      <w:tblPr>
        <w:tblW w:w="4384" w:type="dxa"/>
        <w:jc w:val="left"/>
        <w:tblInd w:w="0" w:type="dxa"/>
        <w:tblLayout w:type="fixed"/>
        <w:tblCellMar>
          <w:top w:w="0" w:type="dxa"/>
          <w:left w:w="0" w:type="dxa"/>
          <w:bottom w:w="0" w:type="dxa"/>
          <w:right w:w="0" w:type="dxa"/>
        </w:tblCellMar>
      </w:tblPr>
      <w:tblGrid>
        <w:gridCol w:w="1666"/>
        <w:gridCol w:w="316"/>
        <w:gridCol w:w="2041"/>
        <w:gridCol w:w="361"/>
      </w:tblGrid>
      <w:tr>
        <w:trPr/>
        <w:tc>
          <w:tcPr>
            <w:tcW w:w="166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20"/>
        <w:ind w:left="0" w:right="0" w:firstLine="720"/>
        <w:jc w:val="both"/>
        <w:rPr>
          <w:rFonts w:ascii="Times New Roman;Times;serif" w:hAnsi="Times New Roman;Times;serif"/>
          <w:sz w:val="18"/>
        </w:rPr>
      </w:pPr>
      <w:r>
        <w:rPr>
          <w:rFonts w:ascii="Times New Roman;Times;serif" w:hAnsi="Times New Roman;Times;serif"/>
          <w:sz w:val="18"/>
        </w:rPr>
        <w:t>As of July 20, 2026, there were 29,579,798 shares of the registrant’s common stock issued and outstanding.</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5" w:name="_8898f312_4a3f_4000_a93e_02fc430b1862"/>
      <w:bookmarkEnd w:id="45"/>
      <w:r>
        <w:rPr>
          <w:rFonts w:ascii="Times New Roman;Times;serif" w:hAnsi="Times New Roman;Times;serif"/>
          <w:b/>
          <w:sz w:val="20"/>
        </w:rPr>
        <w:t>Eagle Nuclear Energy Corp.</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Quarterly Report on Form 10-Q</w:t>
      </w:r>
    </w:p>
    <w:p>
      <w:pPr>
        <w:pStyle w:val="TextBody"/>
        <w:bidi w:val="0"/>
        <w:spacing w:before="0" w:after="240"/>
        <w:ind w:left="0" w:right="0" w:hanging="0"/>
        <w:jc w:val="center"/>
        <w:rPr>
          <w:rFonts w:ascii="Times New Roman;Times;serif" w:hAnsi="Times New Roman;Times;serif"/>
          <w:b/>
          <w:sz w:val="20"/>
        </w:rPr>
      </w:pPr>
      <w:bookmarkStart w:id="46" w:name="TOC"/>
      <w:bookmarkEnd w:id="46"/>
      <w:r>
        <w:rPr>
          <w:rFonts w:ascii="Times New Roman;Times;serif" w:hAnsi="Times New Roman;Times;serif"/>
          <w:b/>
          <w:sz w:val="20"/>
        </w:rPr>
        <w:t>TABLE OF CONTENTS</w:t>
      </w:r>
    </w:p>
    <w:tbl>
      <w:tblPr>
        <w:tblW w:w="8538" w:type="dxa"/>
        <w:jc w:val="left"/>
        <w:tblInd w:w="0" w:type="dxa"/>
        <w:tblLayout w:type="fixed"/>
        <w:tblCellMar>
          <w:top w:w="0" w:type="dxa"/>
          <w:left w:w="0" w:type="dxa"/>
          <w:bottom w:w="0" w:type="dxa"/>
          <w:right w:w="0" w:type="dxa"/>
        </w:tblCellMar>
      </w:tblPr>
      <w:tblGrid>
        <w:gridCol w:w="811"/>
        <w:gridCol w:w="7366"/>
        <w:gridCol w:w="361"/>
      </w:tblGrid>
      <w:tr>
        <w:trPr/>
        <w:tc>
          <w:tcPr>
            <w:tcW w:w="8177" w:type="dxa"/>
            <w:gridSpan w:val="2"/>
            <w:tcBorders/>
            <w:shd w:fill="CCEEFF" w:val="clear"/>
            <w:vAlign w:val="center"/>
          </w:tcPr>
          <w:p>
            <w:pPr>
              <w:pStyle w:val="TableContents"/>
              <w:bidi w:val="0"/>
              <w:spacing w:before="0" w:after="0"/>
              <w:ind w:left="0" w:right="0" w:hanging="0"/>
              <w:jc w:val="both"/>
              <w:rPr/>
            </w:pPr>
            <w:hyperlink w:anchor="PARTIFINANCIALINFORMATION_263256">
              <w:r>
                <w:rPr>
                  <w:rStyle w:val="InternetLink"/>
                  <w:rFonts w:ascii="Times New Roman;Times;serif" w:hAnsi="Times New Roman;Times;serif"/>
                  <w:b w:val="false"/>
                  <w:i w:val="false"/>
                  <w:caps w:val="false"/>
                  <w:smallCaps w:val="false"/>
                  <w:sz w:val="20"/>
                </w:rPr>
                <w:t>PART I – FINANCIAL INFORMATION</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77" w:type="dxa"/>
            <w:gridSpan w:val="2"/>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1FINANCIALSTATEMENTS_844901">
              <w:r>
                <w:rPr>
                  <w:rStyle w:val="InternetLink"/>
                  <w:rFonts w:ascii="Times New Roman;Times;serif" w:hAnsi="Times New Roman;Times;serif"/>
                  <w:b w:val="false"/>
                  <w:i w:val="false"/>
                  <w:caps w:val="false"/>
                  <w:smallCaps w:val="false"/>
                  <w:sz w:val="20"/>
                </w:rPr>
                <w:t>Item 1.</w:t>
              </w:r>
            </w:hyperlink>
          </w:p>
        </w:tc>
        <w:tc>
          <w:tcPr>
            <w:tcW w:w="7366" w:type="dxa"/>
            <w:tcBorders/>
            <w:shd w:fill="CCEEFF" w:val="clear"/>
            <w:vAlign w:val="center"/>
          </w:tcPr>
          <w:p>
            <w:pPr>
              <w:pStyle w:val="TableContents"/>
              <w:bidi w:val="0"/>
              <w:spacing w:before="0" w:after="0"/>
              <w:ind w:left="0" w:right="0" w:hanging="0"/>
              <w:jc w:val="both"/>
              <w:rPr/>
            </w:pPr>
            <w:hyperlink w:anchor="Item1FINANCIALSTATEMENTS_844901">
              <w:r>
                <w:rPr>
                  <w:rStyle w:val="InternetLink"/>
                  <w:rFonts w:ascii="Times New Roman;Times;serif" w:hAnsi="Times New Roman;Times;serif"/>
                  <w:b w:val="false"/>
                  <w:i w:val="false"/>
                  <w:caps w:val="false"/>
                  <w:smallCaps w:val="false"/>
                  <w:sz w:val="20"/>
                </w:rPr>
                <w:t>Financial Statements</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both"/>
              <w:rPr/>
            </w:pPr>
            <w:r>
              <w:rPr/>
              <w:t>​</w:t>
            </w:r>
          </w:p>
        </w:tc>
        <w:tc>
          <w:tcPr>
            <w:tcW w:w="7366"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shd w:fill="CCEEFF" w:val="clear"/>
            <w:vAlign w:val="center"/>
          </w:tcPr>
          <w:p>
            <w:pPr>
              <w:pStyle w:val="TableContents"/>
              <w:bidi w:val="0"/>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both"/>
              <w:rPr/>
            </w:pPr>
            <w:r>
              <w:rPr/>
              <w:t>​</w:t>
            </w:r>
          </w:p>
        </w:tc>
        <w:tc>
          <w:tcPr>
            <w:tcW w:w="7366"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shd w:fill="CCEEFF" w:val="clear"/>
            <w:vAlign w:val="center"/>
          </w:tcPr>
          <w:p>
            <w:pPr>
              <w:pStyle w:val="TableContents"/>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 About Market Risk</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r>
      <w:tr>
        <w:trPr/>
        <w:tc>
          <w:tcPr>
            <w:tcW w:w="811" w:type="dxa"/>
            <w:tcBorders/>
            <w:vAlign w:val="center"/>
          </w:tcPr>
          <w:p>
            <w:pPr>
              <w:pStyle w:val="TableContents"/>
              <w:bidi w:val="0"/>
              <w:spacing w:before="0" w:after="0"/>
              <w:ind w:left="0" w:right="0" w:hanging="0"/>
              <w:jc w:val="both"/>
              <w:rPr/>
            </w:pPr>
            <w:r>
              <w:rPr/>
              <w:t>​</w:t>
            </w:r>
          </w:p>
        </w:tc>
        <w:tc>
          <w:tcPr>
            <w:tcW w:w="7366"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4ControlsAndProcedures_757575">
              <w:r>
                <w:rPr>
                  <w:rStyle w:val="InternetLink"/>
                  <w:rFonts w:ascii="Times New Roman;Times;serif" w:hAnsi="Times New Roman;Times;serif"/>
                  <w:b w:val="false"/>
                  <w:i w:val="false"/>
                  <w:caps w:val="false"/>
                  <w:smallCaps w:val="false"/>
                  <w:sz w:val="20"/>
                </w:rPr>
                <w:t>Item 4.</w:t>
              </w:r>
            </w:hyperlink>
          </w:p>
        </w:tc>
        <w:tc>
          <w:tcPr>
            <w:tcW w:w="7366" w:type="dxa"/>
            <w:tcBorders/>
            <w:shd w:fill="CCEEFF" w:val="clear"/>
            <w:vAlign w:val="center"/>
          </w:tcPr>
          <w:p>
            <w:pPr>
              <w:pStyle w:val="TableContents"/>
              <w:bidi w:val="0"/>
              <w:spacing w:before="0" w:after="0"/>
              <w:ind w:left="0" w:right="0" w:hanging="0"/>
              <w:jc w:val="both"/>
              <w:rPr/>
            </w:pPr>
            <w:hyperlink w:anchor="Item4ControlsAndProcedures_757575">
              <w:r>
                <w:rPr>
                  <w:rStyle w:val="InternetLink"/>
                  <w:rFonts w:ascii="Times New Roman;Times;serif" w:hAnsi="Times New Roman;Times;serif"/>
                  <w:b w:val="false"/>
                  <w:i w:val="false"/>
                  <w:caps w:val="false"/>
                  <w:smallCaps w:val="false"/>
                  <w:sz w:val="20"/>
                </w:rPr>
                <w:t>Controls and Procedures</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r>
      <w:tr>
        <w:trPr/>
        <w:tc>
          <w:tcPr>
            <w:tcW w:w="811" w:type="dxa"/>
            <w:tcBorders/>
            <w:vAlign w:val="center"/>
          </w:tcPr>
          <w:p>
            <w:pPr>
              <w:pStyle w:val="TableContents"/>
              <w:bidi w:val="0"/>
              <w:spacing w:before="0" w:after="0"/>
              <w:ind w:left="0" w:right="0" w:hanging="0"/>
              <w:jc w:val="both"/>
              <w:rPr/>
            </w:pPr>
            <w:r>
              <w:rPr/>
              <w:t>​</w:t>
            </w:r>
          </w:p>
        </w:tc>
        <w:tc>
          <w:tcPr>
            <w:tcW w:w="7366"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77" w:type="dxa"/>
            <w:gridSpan w:val="2"/>
            <w:tcBorders/>
            <w:shd w:fill="CCEEFF" w:val="clear"/>
            <w:vAlign w:val="center"/>
          </w:tcPr>
          <w:p>
            <w:pPr>
              <w:pStyle w:val="TableContents"/>
              <w:bidi w:val="0"/>
              <w:spacing w:before="0" w:after="0"/>
              <w:ind w:left="0" w:right="0" w:hanging="0"/>
              <w:jc w:val="both"/>
              <w:rPr/>
            </w:pPr>
            <w:hyperlink w:anchor="PARTIIOTHERINFORMATION_259588">
              <w:r>
                <w:rPr>
                  <w:rStyle w:val="InternetLink"/>
                  <w:rFonts w:ascii="Times New Roman;Times;serif" w:hAnsi="Times New Roman;Times;serif"/>
                  <w:b w:val="false"/>
                  <w:i w:val="false"/>
                  <w:caps w:val="false"/>
                  <w:smallCaps w:val="false"/>
                  <w:sz w:val="20"/>
                </w:rPr>
                <w:t>PART II – OTHER INFORMATION</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r>
        <w:trPr/>
        <w:tc>
          <w:tcPr>
            <w:tcW w:w="8177" w:type="dxa"/>
            <w:gridSpan w:val="2"/>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1LegalProceedings_789591">
              <w:r>
                <w:rPr>
                  <w:rStyle w:val="InternetLink"/>
                  <w:rFonts w:ascii="Times New Roman;Times;serif" w:hAnsi="Times New Roman;Times;serif"/>
                  <w:b w:val="false"/>
                  <w:i w:val="false"/>
                  <w:caps w:val="false"/>
                  <w:smallCaps w:val="false"/>
                  <w:sz w:val="20"/>
                </w:rPr>
                <w:t>Item 1.</w:t>
              </w:r>
            </w:hyperlink>
          </w:p>
        </w:tc>
        <w:tc>
          <w:tcPr>
            <w:tcW w:w="7366" w:type="dxa"/>
            <w:tcBorders/>
            <w:shd w:fill="CCEEFF" w:val="clear"/>
            <w:vAlign w:val="center"/>
          </w:tcPr>
          <w:p>
            <w:pPr>
              <w:pStyle w:val="TableContents"/>
              <w:bidi w:val="0"/>
              <w:spacing w:before="0" w:after="0"/>
              <w:ind w:left="0" w:right="0" w:hanging="0"/>
              <w:jc w:val="both"/>
              <w:rPr/>
            </w:pPr>
            <w:hyperlink w:anchor="Item1LegalProceedings_789591">
              <w:r>
                <w:rPr>
                  <w:rStyle w:val="InternetLink"/>
                  <w:rFonts w:ascii="Times New Roman;Times;serif" w:hAnsi="Times New Roman;Times;serif"/>
                  <w:b w:val="false"/>
                  <w:i w:val="false"/>
                  <w:caps w:val="false"/>
                  <w:smallCaps w:val="false"/>
                  <w:sz w:val="20"/>
                </w:rPr>
                <w:t>Legal Proceedings</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bidi w:val="0"/>
              <w:spacing w:before="0" w:after="0"/>
              <w:ind w:left="0" w:right="0" w:hanging="0"/>
              <w:jc w:val="both"/>
              <w:rPr/>
            </w:pPr>
            <w:r>
              <w:rPr/>
              <w:t>​</w:t>
            </w:r>
          </w:p>
        </w:tc>
        <w:tc>
          <w:tcPr>
            <w:tcW w:w="7366"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1ARiskFactors_186367">
              <w:r>
                <w:rPr>
                  <w:rStyle w:val="InternetLink"/>
                  <w:rFonts w:ascii="Times New Roman;Times;serif" w:hAnsi="Times New Roman;Times;serif"/>
                  <w:b w:val="false"/>
                  <w:i w:val="false"/>
                  <w:caps w:val="false"/>
                  <w:smallCaps w:val="false"/>
                  <w:sz w:val="20"/>
                </w:rPr>
                <w:t>Item 1A.</w:t>
              </w:r>
            </w:hyperlink>
          </w:p>
        </w:tc>
        <w:tc>
          <w:tcPr>
            <w:tcW w:w="7366" w:type="dxa"/>
            <w:tcBorders/>
            <w:shd w:fill="CCEEFF" w:val="clear"/>
            <w:vAlign w:val="center"/>
          </w:tcPr>
          <w:p>
            <w:pPr>
              <w:pStyle w:val="TableContents"/>
              <w:bidi w:val="0"/>
              <w:spacing w:before="0" w:after="0"/>
              <w:ind w:left="0" w:right="0" w:hanging="0"/>
              <w:jc w:val="both"/>
              <w:rPr/>
            </w:pPr>
            <w:hyperlink w:anchor="Item1ARiskFactors_186367">
              <w:r>
                <w:rPr>
                  <w:rStyle w:val="InternetLink"/>
                  <w:rFonts w:ascii="Times New Roman;Times;serif" w:hAnsi="Times New Roman;Times;serif"/>
                  <w:b w:val="false"/>
                  <w:i w:val="false"/>
                  <w:caps w:val="false"/>
                  <w:smallCaps w:val="false"/>
                  <w:sz w:val="20"/>
                </w:rPr>
                <w:t>Risk Factors</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bidi w:val="0"/>
              <w:spacing w:before="0" w:after="0"/>
              <w:ind w:left="0" w:right="0" w:hanging="0"/>
              <w:jc w:val="both"/>
              <w:rPr/>
            </w:pPr>
            <w:r>
              <w:rPr/>
              <w:t>​</w:t>
            </w:r>
          </w:p>
        </w:tc>
        <w:tc>
          <w:tcPr>
            <w:tcW w:w="7366"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shd w:fill="CCEEFF" w:val="clear"/>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bidi w:val="0"/>
              <w:spacing w:before="0" w:after="0"/>
              <w:ind w:left="0" w:right="0" w:hanging="0"/>
              <w:jc w:val="both"/>
              <w:rPr/>
            </w:pPr>
            <w:r>
              <w:rPr/>
              <w:t>​</w:t>
            </w:r>
          </w:p>
        </w:tc>
        <w:tc>
          <w:tcPr>
            <w:tcW w:w="7366"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3DefaultsUponSeniorSecurities_910652">
              <w:r>
                <w:rPr>
                  <w:rStyle w:val="InternetLink"/>
                  <w:rFonts w:ascii="Times New Roman;Times;serif" w:hAnsi="Times New Roman;Times;serif"/>
                  <w:b w:val="false"/>
                  <w:i w:val="false"/>
                  <w:caps w:val="false"/>
                  <w:smallCaps w:val="false"/>
                  <w:sz w:val="20"/>
                </w:rPr>
                <w:t>Item 3.</w:t>
              </w:r>
            </w:hyperlink>
          </w:p>
        </w:tc>
        <w:tc>
          <w:tcPr>
            <w:tcW w:w="7366" w:type="dxa"/>
            <w:tcBorders/>
            <w:shd w:fill="CCEEFF" w:val="clear"/>
            <w:vAlign w:val="center"/>
          </w:tcPr>
          <w:p>
            <w:pPr>
              <w:pStyle w:val="TableContents"/>
              <w:bidi w:val="0"/>
              <w:spacing w:before="0" w:after="0"/>
              <w:ind w:left="0" w:right="0" w:hanging="0"/>
              <w:jc w:val="both"/>
              <w:rPr/>
            </w:pPr>
            <w:hyperlink w:anchor="Item3DefaultsUponSeniorSecurities_910652">
              <w:r>
                <w:rPr>
                  <w:rStyle w:val="InternetLink"/>
                  <w:rFonts w:ascii="Times New Roman;Times;serif" w:hAnsi="Times New Roman;Times;serif"/>
                  <w:b w:val="false"/>
                  <w:i w:val="false"/>
                  <w:caps w:val="false"/>
                  <w:smallCaps w:val="false"/>
                  <w:sz w:val="20"/>
                </w:rPr>
                <w:t>Defaults Upon Senior Securities</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bidi w:val="0"/>
              <w:spacing w:before="0" w:after="0"/>
              <w:ind w:left="0" w:right="0" w:hanging="0"/>
              <w:jc w:val="both"/>
              <w:rPr/>
            </w:pPr>
            <w:r>
              <w:rPr/>
              <w:t>​</w:t>
            </w:r>
          </w:p>
        </w:tc>
        <w:tc>
          <w:tcPr>
            <w:tcW w:w="7366"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4MineSafetyDisclosures_574558">
              <w:r>
                <w:rPr>
                  <w:rStyle w:val="InternetLink"/>
                  <w:rFonts w:ascii="Times New Roman;Times;serif" w:hAnsi="Times New Roman;Times;serif"/>
                  <w:b w:val="false"/>
                  <w:i w:val="false"/>
                  <w:caps w:val="false"/>
                  <w:smallCaps w:val="false"/>
                  <w:sz w:val="20"/>
                </w:rPr>
                <w:t>Item 4.</w:t>
              </w:r>
            </w:hyperlink>
          </w:p>
        </w:tc>
        <w:tc>
          <w:tcPr>
            <w:tcW w:w="7366" w:type="dxa"/>
            <w:tcBorders/>
            <w:shd w:fill="CCEEFF" w:val="clear"/>
            <w:vAlign w:val="center"/>
          </w:tcPr>
          <w:p>
            <w:pPr>
              <w:pStyle w:val="TableContents"/>
              <w:bidi w:val="0"/>
              <w:spacing w:before="0" w:after="0"/>
              <w:ind w:left="0" w:right="0" w:hanging="0"/>
              <w:jc w:val="both"/>
              <w:rPr/>
            </w:pPr>
            <w:hyperlink w:anchor="Item4MineSafetyDisclosures_574558">
              <w:r>
                <w:rPr>
                  <w:rStyle w:val="InternetLink"/>
                  <w:rFonts w:ascii="Times New Roman;Times;serif" w:hAnsi="Times New Roman;Times;serif"/>
                  <w:b w:val="false"/>
                  <w:i w:val="false"/>
                  <w:caps w:val="false"/>
                  <w:smallCaps w:val="false"/>
                  <w:sz w:val="20"/>
                </w:rPr>
                <w:t>Mine Safety Disclosures</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bidi w:val="0"/>
              <w:spacing w:before="0" w:after="0"/>
              <w:ind w:left="0" w:right="0" w:hanging="0"/>
              <w:jc w:val="both"/>
              <w:rPr/>
            </w:pPr>
            <w:r>
              <w:rPr/>
              <w:t>​</w:t>
            </w:r>
          </w:p>
        </w:tc>
        <w:tc>
          <w:tcPr>
            <w:tcW w:w="7366"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5OtherInformation_695526">
              <w:r>
                <w:rPr>
                  <w:rStyle w:val="InternetLink"/>
                  <w:rFonts w:ascii="Times New Roman;Times;serif" w:hAnsi="Times New Roman;Times;serif"/>
                  <w:b w:val="false"/>
                  <w:i w:val="false"/>
                  <w:caps w:val="false"/>
                  <w:smallCaps w:val="false"/>
                  <w:sz w:val="20"/>
                </w:rPr>
                <w:t>Item 5.</w:t>
              </w:r>
            </w:hyperlink>
          </w:p>
        </w:tc>
        <w:tc>
          <w:tcPr>
            <w:tcW w:w="7366" w:type="dxa"/>
            <w:tcBorders/>
            <w:shd w:fill="CCEEFF" w:val="clear"/>
            <w:vAlign w:val="center"/>
          </w:tcPr>
          <w:p>
            <w:pPr>
              <w:pStyle w:val="TableContents"/>
              <w:bidi w:val="0"/>
              <w:spacing w:before="0" w:after="0"/>
              <w:ind w:left="0" w:right="0" w:hanging="0"/>
              <w:jc w:val="both"/>
              <w:rPr/>
            </w:pPr>
            <w:hyperlink w:anchor="Item5OtherInformation_695526">
              <w:r>
                <w:rPr>
                  <w:rStyle w:val="InternetLink"/>
                  <w:rFonts w:ascii="Times New Roman;Times;serif" w:hAnsi="Times New Roman;Times;serif"/>
                  <w:b w:val="false"/>
                  <w:i w:val="false"/>
                  <w:caps w:val="false"/>
                  <w:smallCaps w:val="false"/>
                  <w:sz w:val="20"/>
                </w:rPr>
                <w:t>Other Information</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bidi w:val="0"/>
              <w:spacing w:before="0" w:after="0"/>
              <w:ind w:left="0" w:right="0" w:hanging="0"/>
              <w:jc w:val="both"/>
              <w:rPr/>
            </w:pPr>
            <w:r>
              <w:rPr/>
              <w:t>​</w:t>
            </w:r>
          </w:p>
        </w:tc>
        <w:tc>
          <w:tcPr>
            <w:tcW w:w="7366"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6Exhibits_810647">
              <w:r>
                <w:rPr>
                  <w:rStyle w:val="InternetLink"/>
                  <w:rFonts w:ascii="Times New Roman;Times;serif" w:hAnsi="Times New Roman;Times;serif"/>
                  <w:b w:val="false"/>
                  <w:i w:val="false"/>
                  <w:caps w:val="false"/>
                  <w:smallCaps w:val="false"/>
                  <w:sz w:val="20"/>
                </w:rPr>
                <w:t>Item 6.</w:t>
              </w:r>
            </w:hyperlink>
          </w:p>
        </w:tc>
        <w:tc>
          <w:tcPr>
            <w:tcW w:w="7366" w:type="dxa"/>
            <w:tcBorders/>
            <w:shd w:fill="CCEEFF" w:val="clear"/>
            <w:vAlign w:val="center"/>
          </w:tcPr>
          <w:p>
            <w:pPr>
              <w:pStyle w:val="TableContents"/>
              <w:bidi w:val="0"/>
              <w:spacing w:before="0" w:after="0"/>
              <w:ind w:left="0" w:right="0" w:hanging="0"/>
              <w:jc w:val="both"/>
              <w:rPr/>
            </w:pPr>
            <w:hyperlink w:anchor="Item6Exhibits_810647">
              <w:r>
                <w:rPr>
                  <w:rStyle w:val="InternetLink"/>
                  <w:rFonts w:ascii="Times New Roman;Times;serif" w:hAnsi="Times New Roman;Times;serif"/>
                  <w:b w:val="false"/>
                  <w:i w:val="false"/>
                  <w:caps w:val="false"/>
                  <w:smallCaps w:val="false"/>
                  <w:sz w:val="20"/>
                </w:rPr>
                <w:t>Exhibits</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r>
      <w:tr>
        <w:trPr/>
        <w:tc>
          <w:tcPr>
            <w:tcW w:w="811" w:type="dxa"/>
            <w:tcBorders/>
            <w:vAlign w:val="center"/>
          </w:tcPr>
          <w:p>
            <w:pPr>
              <w:pStyle w:val="TableContents"/>
              <w:bidi w:val="0"/>
              <w:spacing w:before="0" w:after="0"/>
              <w:ind w:left="0" w:right="0" w:hanging="0"/>
              <w:jc w:val="both"/>
              <w:rPr/>
            </w:pPr>
            <w:r>
              <w:rPr/>
              <w:t>​</w:t>
            </w:r>
          </w:p>
        </w:tc>
        <w:tc>
          <w:tcPr>
            <w:tcW w:w="7366" w:type="dxa"/>
            <w:tcBorders/>
            <w:vAlign w:val="center"/>
          </w:tcPr>
          <w:p>
            <w:pPr>
              <w:pStyle w:val="TableContents"/>
              <w:bidi w:val="0"/>
              <w:spacing w:before="0" w:after="0"/>
              <w:ind w:left="0" w:right="0" w:hanging="0"/>
              <w:jc w:val="both"/>
              <w:rPr/>
            </w:pPr>
            <w:r>
              <w:rPr/>
              <w:t>​</w:t>
            </w:r>
          </w:p>
        </w:tc>
        <w:tc>
          <w:tcPr>
            <w:tcW w:w="361" w:type="dxa"/>
            <w:tcBorders/>
            <w:vAlign w:val="center"/>
          </w:tcPr>
          <w:p>
            <w:pPr>
              <w:pStyle w:val="TableContents"/>
              <w:bidi w:val="0"/>
              <w:spacing w:before="0" w:after="0"/>
              <w:ind w:left="0" w:right="0" w:hanging="0"/>
              <w:jc w:val="center"/>
              <w:rPr/>
            </w:pPr>
            <w:r>
              <w:rPr/>
              <w:t>​</w:t>
            </w:r>
          </w:p>
        </w:tc>
      </w:tr>
      <w:tr>
        <w:trPr/>
        <w:tc>
          <w:tcPr>
            <w:tcW w:w="8177" w:type="dxa"/>
            <w:gridSpan w:val="2"/>
            <w:tcBorders/>
            <w:shd w:fill="CCEEFF" w:val="clear"/>
            <w:vAlign w:val="center"/>
          </w:tcPr>
          <w:p>
            <w:pPr>
              <w:pStyle w:val="TableContents"/>
              <w:bidi w:val="0"/>
              <w:spacing w:before="0" w:after="0"/>
              <w:ind w:left="0" w:right="0" w:hanging="0"/>
              <w:jc w:val="both"/>
              <w:rPr/>
            </w:pPr>
            <w:hyperlink w:anchor="SIGNATURES_541944">
              <w:r>
                <w:rPr>
                  <w:rStyle w:val="InternetLink"/>
                  <w:rFonts w:ascii="Times New Roman;Times;serif" w:hAnsi="Times New Roman;Times;serif"/>
                  <w:b w:val="false"/>
                  <w:i w:val="false"/>
                  <w:caps w:val="false"/>
                  <w:smallCaps w:val="false"/>
                  <w:sz w:val="20"/>
                </w:rPr>
                <w:t>SIGNATURES</w:t>
              </w:r>
            </w:hyperlink>
          </w:p>
        </w:tc>
        <w:tc>
          <w:tcPr>
            <w:tcW w:w="3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7" w:name="_7eb45863_73be_43d6_b746_dca3cf08610b"/>
      <w:bookmarkEnd w:id="47"/>
      <w:r>
        <w:rPr>
          <w:rFonts w:ascii="Times New Roman;Times;serif" w:hAnsi="Times New Roman;Times;serif"/>
          <w:b/>
          <w:sz w:val="20"/>
        </w:rPr>
        <w:t>CAUTIONARY NOTE REGARDING FORWARD-LOOKING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make statements in this Quarterly Report on Form 10-Q (the “Quarterly Report”) that are forward-looking statements within the meaning of the federal securities laws. The words “believe,” “estimate,” “expect,” “anticipate,” “intend,” “plan,” “seek,” “may,” and similar expressions or statements regarding future periods are intended to identify forward-looking statements. These forward-looking statements involve known and unknown risks, uncertainties and other important factors that could cause our actual results, performance or achievements, or industry results, to differ materially from any predictions of future results, performance or achievements that we express or imply in this Quarterly Report or in the information incorporated by reference into this Quarterly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forward-looking statements included in this Quarterly Report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taking into account the information currently available to us, we cannot guarantee future transactions, results, performance, achievements or outcomes, and our actual results and performance could differ materially from those set forth in any forward-looking statements. The cautionary statements set forth in this Quarterly Report identify important factors which you should consider in evaluating our forward-looking statements. These factors include, without limitation: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early-stage company with limited to no operating history upon which investors can evaluate our future prospects.</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dependent on additional financing to conduct our business plan.</w:t>
            </w:r>
          </w:p>
        </w:tc>
      </w:tr>
    </w:tbl>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generated profits or revenues and do not expect to do so in the near term.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uranium prices may adversely affect the economic viability of the Aurora Uranium Project and increase investor dilution.</w:t>
            </w:r>
          </w:p>
        </w:tc>
      </w:tr>
    </w:tbl>
    <w:tbl>
      <w:tblPr>
        <w:tblW w:w="7881" w:type="dxa"/>
        <w:jc w:val="left"/>
        <w:tblInd w:w="0" w:type="dxa"/>
        <w:tblLayout w:type="fixed"/>
        <w:tblCellMar>
          <w:top w:w="28" w:type="dxa"/>
          <w:left w:w="28" w:type="dxa"/>
          <w:bottom w:w="28" w:type="dxa"/>
          <w:right w:w="28" w:type="dxa"/>
        </w:tblCellMar>
      </w:tblPr>
      <w:tblGrid>
        <w:gridCol w:w="124"/>
        <w:gridCol w:w="25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risks inherent in mineral exploration and development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target customers operate in a politically sensitive environment, and public perception of nuclear energy can affect us and our target customers.</w:t>
            </w:r>
          </w:p>
        </w:tc>
      </w:tr>
    </w:tbl>
    <w:tbl>
      <w:tblPr>
        <w:tblW w:w="9441" w:type="dxa"/>
        <w:jc w:val="left"/>
        <w:tblInd w:w="0" w:type="dxa"/>
        <w:tblLayout w:type="fixed"/>
        <w:tblCellMar>
          <w:top w:w="28" w:type="dxa"/>
          <w:left w:w="28" w:type="dxa"/>
          <w:bottom w:w="28" w:type="dxa"/>
          <w:right w:w="28" w:type="dxa"/>
        </w:tblCellMar>
      </w:tblPr>
      <w:tblGrid>
        <w:gridCol w:w="124"/>
        <w:gridCol w:w="256"/>
        <w:gridCol w:w="9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Intense competition in the mining and SMR markets could limit our ability to capture and retain market share.</w:t>
            </w:r>
          </w:p>
        </w:tc>
      </w:tr>
    </w:tbl>
    <w:tbl>
      <w:tblPr>
        <w:tblW w:w="8001" w:type="dxa"/>
        <w:jc w:val="left"/>
        <w:tblInd w:w="0" w:type="dxa"/>
        <w:tblLayout w:type="fixed"/>
        <w:tblCellMar>
          <w:top w:w="28" w:type="dxa"/>
          <w:left w:w="28" w:type="dxa"/>
          <w:bottom w:w="28" w:type="dxa"/>
          <w:right w:w="28" w:type="dxa"/>
        </w:tblCellMar>
      </w:tblPr>
      <w:tblGrid>
        <w:gridCol w:w="124"/>
        <w:gridCol w:w="256"/>
        <w:gridCol w:w="7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acceptance of nuclear energy and competition from other energy sources is unknown.</w:t>
            </w:r>
          </w:p>
        </w:tc>
      </w:tr>
    </w:tbl>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media coverage of mining or nuclear energy could negatively affect our business.</w:t>
            </w:r>
          </w:p>
        </w:tc>
      </w:tr>
    </w:tbl>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operations involve a high degree of risk.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Aurora Uranium Project is in the exploration stage, and there is no assurance that we can establish the existence of any mineral reserve in commercially exploitable quantities. Until then, we cannot earn any revenues from the Aurora Uranium Project, and our business could fail.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and mineral exploration are inherently dangerous and subject to conditions or events beyond our control, which could have a material adverse effect on our business and plans.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presents potential health risks, and payment of any liabilities arising from these health risks may adversely impact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electricity generated from nuclear sources may not be cost competitive with other electricity generation sources in some markets, which could materially and adversely affect our business.</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government incentives to use nuclear power may have an adverse impact on the market for SMRs.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SMRs generating nuclear power is not yet established and may not achieve the growth potential we expect or may grow more slowly than expected.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licensed SMR technology is at an early stage, may never achieve commercial viability, and loss of the license would terminate our ability to pursue this business.</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entirely on a single license for our SMR technology platform.</w:t>
            </w:r>
          </w:p>
        </w:tc>
      </w:tr>
    </w:tbl>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SMR development remains conceptual and faces significant technical risk.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lack the manufacturing infrastructure to scale any future SMR prototype, and early production efforts may cause significant cost overruns and delays.</w:t>
            </w:r>
          </w:p>
        </w:tc>
      </w:tr>
    </w:tbl>
    <w:tbl>
      <w:tblPr>
        <w:tblW w:w="6756" w:type="dxa"/>
        <w:jc w:val="left"/>
        <w:tblInd w:w="0" w:type="dxa"/>
        <w:tblLayout w:type="fixed"/>
        <w:tblCellMar>
          <w:top w:w="28" w:type="dxa"/>
          <w:left w:w="28" w:type="dxa"/>
          <w:bottom w:w="28" w:type="dxa"/>
          <w:right w:w="28" w:type="dxa"/>
        </w:tblCellMar>
      </w:tblPr>
      <w:tblGrid>
        <w:gridCol w:w="124"/>
        <w:gridCol w:w="256"/>
        <w:gridCol w:w="6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executive management team may have conflicts of interest.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key personnel, an inability to attract and retain additional personnel, or difficulties integrating new members of our management team could affect our ability to successfully grow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demand for our uranium resources does not develop as expected, our projected revenues and profits will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Russia’s invasion of Ukraine is severely and unpredictably impacting global energy markets and supply chains, and rising concerns over a second severe nuclear accident in Ukraine could seriously hurt public reception to nuclear energy.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related to the ongoing wars between Russia and Ukraine, conflicts in the Middle East, economic instability in Venezuela, and the global response thereto, could adversely affect our business, financial condition and results of operations.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number of additional factors could cause actual events, performance or results to differ materially from the events, performance and results discussed in the forward-looking statements. For more information identifying important factors that could cause actual results to differ materially from those anticipated in the forward-looking statements, please refer to the “Risk Factors” section of our Registration Statement on Form S-1 initially filed with the Securities and Exchange Commission (the “SEC”) on March 19, 2026 (File No. 333-294464) (the “Registration Statement”) and the “Risk Factors” section of this Quarterly Report. Our securities filings can be accessed on the EDGAR section of the SEC’s website at www.sec.gov.</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are cautioned not to place undue reliance on any forward-looking statements included in this Quarterly Report. All forward-looking statements are made as of the date of this Quarterly Report, and the risk that actual results will differ materially from the expectations expressed in this Quarterly Report will increase with the passage of time. Except as otherwise required by the federal securities laws, we undertake no obligation to publicly update or revise any forward-looking statements after the date of this Quarterly Report, whether as a result of new information, future events, changed circumstances or any other reason. In light of the significant uncertainties inherent in the forward-looking statements included in this Quarterly Report, the inclusion of such forward-looking statements should not be regarded as a representation by us or any other person that the objectives and plans set forth in this Quarterly Report will be achieved.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8" w:name="PARTIFINANCIALINFORMATION_263256"/>
      <w:bookmarkStart w:id="49" w:name="_0be29184_1c12_4ae3_b22c_181c258064c9"/>
      <w:bookmarkEnd w:id="48"/>
      <w:bookmarkEnd w:id="49"/>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50" w:name="Item1FINANCIALSTATEMENTS_844901"/>
      <w:bookmarkEnd w:id="50"/>
      <w:r>
        <w:rPr>
          <w:rFonts w:ascii="Times New Roman;Times;serif" w:hAnsi="Times New Roman;Times;serif"/>
          <w:b/>
          <w:sz w:val="20"/>
        </w:rPr>
        <w:t>Item 1. FINANCIAL STATEMENTS</w:t>
      </w:r>
    </w:p>
    <w:p>
      <w:pPr>
        <w:pStyle w:val="TextBody"/>
        <w:bidi w:val="0"/>
        <w:spacing w:before="0" w:after="240"/>
        <w:ind w:left="0" w:right="0" w:hanging="0"/>
        <w:jc w:val="center"/>
        <w:rPr>
          <w:rFonts w:ascii="Times New Roman;Times;serif" w:hAnsi="Times New Roman;Times;serif"/>
          <w:b/>
          <w:sz w:val="28"/>
        </w:rPr>
      </w:pPr>
      <w:r>
        <w:rPr>
          <w:rFonts w:ascii="Times New Roman;Times;serif" w:hAnsi="Times New Roman;Times;serif"/>
          <w:b/>
          <w:sz w:val="28"/>
        </w:rPr>
        <w:t>EAGLE NUCLEAR ENERGY CORP.</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CONDENSED CONSOLIDATED INTERIM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MAY 31, 2026 AND 2025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mallCaps/>
          <w:sz w:val="20"/>
        </w:rPr>
        <w:t>UNAUDITED</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bookmarkStart w:id="51" w:name="_e0d4c8ae_75d6_4171_b8f4_6c1c613cea44"/>
      <w:bookmarkEnd w:id="51"/>
      <w:r>
        <w:rPr/>
        <w:t>​</w:t>
      </w:r>
    </w:p>
    <w:tbl>
      <w:tblPr>
        <w:tblW w:w="10205" w:type="dxa"/>
        <w:jc w:val="left"/>
        <w:tblInd w:w="0" w:type="dxa"/>
        <w:tblLayout w:type="fixed"/>
        <w:tblCellMar>
          <w:top w:w="0" w:type="dxa"/>
          <w:left w:w="0" w:type="dxa"/>
          <w:bottom w:w="0" w:type="dxa"/>
          <w:right w:w="0" w:type="dxa"/>
        </w:tblCellMar>
      </w:tblPr>
      <w:tblGrid>
        <w:gridCol w:w="9664"/>
        <w:gridCol w:w="541"/>
      </w:tblGrid>
      <w:tr>
        <w:trPr/>
        <w:tc>
          <w:tcPr>
            <w:tcW w:w="9664" w:type="dxa"/>
            <w:tcBorders/>
            <w:vAlign w:val="center"/>
          </w:tcPr>
          <w:p>
            <w:pPr>
              <w:pStyle w:val="TableContents"/>
              <w:bidi w:val="0"/>
              <w:spacing w:before="0" w:after="0"/>
              <w:ind w:left="0" w:right="0" w:hanging="0"/>
              <w:jc w:val="both"/>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9664" w:type="dxa"/>
            <w:tcBorders/>
            <w:shd w:fill="CCEEFF" w:val="clear"/>
            <w:vAlign w:val="center"/>
          </w:tcPr>
          <w:p>
            <w:pPr>
              <w:pStyle w:val="TableContents"/>
              <w:bidi w:val="0"/>
              <w:spacing w:before="0" w:after="0"/>
              <w:ind w:left="0" w:right="0" w:hanging="0"/>
              <w:jc w:val="both"/>
              <w:rPr/>
            </w:pPr>
            <w:hyperlink w:anchor="CONDENSEDCONSOLIDATEDINTERIMBALANCESHEET">
              <w:r>
                <w:rPr>
                  <w:rStyle w:val="InternetLink"/>
                  <w:rFonts w:ascii="Times New Roman;Times;serif" w:hAnsi="Times New Roman;Times;serif"/>
                  <w:b w:val="false"/>
                  <w:i w:val="false"/>
                  <w:caps w:val="false"/>
                  <w:smallCaps w:val="false"/>
                  <w:sz w:val="20"/>
                </w:rPr>
                <w:t>Condensed Consolidated Interim Balance Sheets as of May 31, 2026 (unaudited) and November 30, 2025</w:t>
              </w:r>
            </w:hyperlink>
          </w:p>
        </w:tc>
        <w:tc>
          <w:tcPr>
            <w:tcW w:w="54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9664" w:type="dxa"/>
            <w:tcBorders/>
            <w:vAlign w:val="center"/>
          </w:tcPr>
          <w:p>
            <w:pPr>
              <w:pStyle w:val="TableContents"/>
              <w:bidi w:val="0"/>
              <w:spacing w:before="0" w:after="0"/>
              <w:ind w:left="0" w:right="0" w:hanging="0"/>
              <w:jc w:val="both"/>
              <w:rPr/>
            </w:pPr>
            <w:hyperlink w:anchor="STATEMENTSOFOPERATIONS_90993">
              <w:r>
                <w:rPr>
                  <w:rStyle w:val="InternetLink"/>
                  <w:rFonts w:ascii="Times New Roman;Times;serif" w:hAnsi="Times New Roman;Times;serif"/>
                  <w:b w:val="false"/>
                  <w:i w:val="false"/>
                  <w:caps w:val="false"/>
                  <w:smallCaps w:val="false"/>
                  <w:sz w:val="20"/>
                </w:rPr>
                <w:t>Unaudited Condensed Consolidated Interim Statements of Operations for the Three and Six Months Ended May 31, 2026 and 2025 </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9664" w:type="dxa"/>
            <w:tcBorders/>
            <w:shd w:fill="CCEEFF" w:val="clear"/>
            <w:vAlign w:val="center"/>
          </w:tcPr>
          <w:p>
            <w:pPr>
              <w:pStyle w:val="TableContents"/>
              <w:bidi w:val="0"/>
              <w:spacing w:before="0" w:after="0"/>
              <w:ind w:left="0" w:right="0" w:hanging="0"/>
              <w:jc w:val="both"/>
              <w:rPr/>
            </w:pPr>
            <w:hyperlink w:anchor="equitysixmonthended">
              <w:r>
                <w:rPr>
                  <w:rStyle w:val="InternetLink"/>
                  <w:rFonts w:ascii="Times New Roman;Times;serif" w:hAnsi="Times New Roman;Times;serif"/>
                  <w:b w:val="false"/>
                  <w:i w:val="false"/>
                  <w:caps w:val="false"/>
                  <w:smallCaps w:val="false"/>
                  <w:sz w:val="20"/>
                </w:rPr>
                <w:t>Unaudited Condensed Consolidated Interim Statements of Changes in Stockholders’ Equity (Deficit) for the Six Months Ended May 31, 2026 and 2025</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r>
      <w:tr>
        <w:trPr/>
        <w:tc>
          <w:tcPr>
            <w:tcW w:w="9664" w:type="dxa"/>
            <w:tcBorders/>
            <w:vAlign w:val="center"/>
          </w:tcPr>
          <w:p>
            <w:pPr>
              <w:pStyle w:val="TableContents"/>
              <w:bidi w:val="0"/>
              <w:spacing w:before="0" w:after="0"/>
              <w:ind w:left="0" w:right="0" w:hanging="0"/>
              <w:jc w:val="both"/>
              <w:rPr/>
            </w:pPr>
            <w:hyperlink w:anchor="equitythreemonthended">
              <w:r>
                <w:rPr>
                  <w:rStyle w:val="InternetLink"/>
                  <w:rFonts w:ascii="Times New Roman;Times;serif" w:hAnsi="Times New Roman;Times;serif"/>
                  <w:b w:val="false"/>
                  <w:i w:val="false"/>
                  <w:caps w:val="false"/>
                  <w:smallCaps w:val="false"/>
                  <w:sz w:val="20"/>
                </w:rPr>
                <w:t>Unaudited Condensed Consolidated Interim Statements of Changes in Stockholders’ Equity (Deficit) for the Three Months Ended May 31, 2026 and 2025</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9664" w:type="dxa"/>
            <w:tcBorders/>
            <w:shd w:fill="CCEEFF" w:val="clear"/>
            <w:vAlign w:val="center"/>
          </w:tcPr>
          <w:p>
            <w:pPr>
              <w:pStyle w:val="TableContents"/>
              <w:bidi w:val="0"/>
              <w:spacing w:before="0" w:after="0"/>
              <w:ind w:left="0" w:right="0" w:hanging="0"/>
              <w:jc w:val="both"/>
              <w:rPr/>
            </w:pPr>
            <w:hyperlink w:anchor="cashflow">
              <w:r>
                <w:rPr>
                  <w:rStyle w:val="InternetLink"/>
                  <w:rFonts w:ascii="Times New Roman;Times;serif" w:hAnsi="Times New Roman;Times;serif"/>
                  <w:b w:val="false"/>
                  <w:i w:val="false"/>
                  <w:caps w:val="false"/>
                  <w:smallCaps w:val="false"/>
                  <w:sz w:val="20"/>
                </w:rPr>
                <w:t>Unaudited Condensed Consolidated Interim Statements of Cash Flows for the Six Months Ended May 31, 2026 and 2025 </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r>
      <w:tr>
        <w:trPr/>
        <w:tc>
          <w:tcPr>
            <w:tcW w:w="9664" w:type="dxa"/>
            <w:tcBorders/>
            <w:vAlign w:val="center"/>
          </w:tcPr>
          <w:p>
            <w:pPr>
              <w:pStyle w:val="TableContents"/>
              <w:bidi w:val="0"/>
              <w:spacing w:before="0" w:after="0"/>
              <w:ind w:left="0" w:right="0" w:hanging="0"/>
              <w:jc w:val="both"/>
              <w:rPr/>
            </w:pPr>
            <w:hyperlink w:anchor="a1NATUREOFOPERATIONS_692654">
              <w:r>
                <w:rPr>
                  <w:rStyle w:val="InternetLink"/>
                  <w:rFonts w:ascii="Times New Roman;Times;serif" w:hAnsi="Times New Roman;Times;serif"/>
                  <w:b w:val="false"/>
                  <w:i w:val="false"/>
                  <w:caps w:val="false"/>
                  <w:smallCaps w:val="false"/>
                  <w:sz w:val="20"/>
                </w:rPr>
                <w:t>Notes to Unaudited Condensed Consolidated Interim Financial Statements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52" w:name="_c9444abc_b99d_4cd8_a757_851000e9eb7b"/>
      <w:bookmarkEnd w:id="52"/>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bookmarkStart w:id="53" w:name="CONDENSEDCONSOLIDATEDINTERIMBALANCESHEET"/>
      <w:bookmarkEnd w:id="53"/>
      <w:r>
        <w:rPr>
          <w:rFonts w:ascii="Times New Roman;Times;serif" w:hAnsi="Times New Roman;Times;serif"/>
          <w:b/>
          <w:sz w:val="20"/>
        </w:rPr>
        <w:t>CONDENSED CONSOLIDATED INTERIM BALANCE SHEETS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AS OF MAY 31, 2026 AND NOVEMBER 30, 2025</w:t>
      </w:r>
    </w:p>
    <w:p>
      <w:pPr>
        <w:pStyle w:val="Normal"/>
        <w:bidi w:val="0"/>
        <w:spacing w:before="0" w:after="0"/>
        <w:jc w:val="left"/>
        <w:rPr>
          <w:sz w:val="4"/>
          <w:szCs w:val="4"/>
        </w:rPr>
      </w:pPr>
      <w:r>
        <w:rPr>
          <w:sz w:val="4"/>
          <w:szCs w:val="4"/>
        </w:rPr>
      </w:r>
      <w:bookmarkStart w:id="54" w:name="Tc_2yNL8JzN70OH6UkNRY3tyg_42_5"/>
      <w:bookmarkStart w:id="55" w:name="Tc_J59kVbQYNU-N7NrLD9-UAw_42_2"/>
      <w:bookmarkStart w:id="56" w:name="Tc_VoMcasTpSUiKO_RxGz0k5A_42_0"/>
      <w:bookmarkStart w:id="57" w:name="Tc_odU0CY9f2EeN5s3zbPJFDQ_41_0"/>
      <w:bookmarkStart w:id="58" w:name="Tc_nLbC7Mes40ClIG-fnW6RdQ_40_0"/>
      <w:bookmarkStart w:id="59" w:name="Tc_Q1B-YIRUHUyz4dCbLltpeQ_39_0"/>
      <w:bookmarkStart w:id="60" w:name="Tc_4xnvK0RWGk-HlQkA2eoaDw_38_0"/>
      <w:bookmarkStart w:id="61" w:name="Tc_-pCKI2MhrkSmMrPN6-BJLg_37_0"/>
      <w:bookmarkStart w:id="62" w:name="Tc_LD5pRuUULUqyFeKUQgxI5w_36_0"/>
      <w:bookmarkStart w:id="63" w:name="Tc_Tdv68YgTykqW61B85ynEVg_34_6"/>
      <w:bookmarkStart w:id="64" w:name="Tc_8b7FmktzKU6AOr5Zie0-vQ_34_0"/>
      <w:bookmarkStart w:id="65" w:name="Tc_Dm9gowygj06VPis1T6nuGg_33_3"/>
      <w:bookmarkStart w:id="66" w:name="Tc_A6s71fQkr0-ybkTyISr0Qg_33_0"/>
      <w:bookmarkStart w:id="67" w:name="Tc_PEFwYM1_dU6woQPStSdxpA_32_0"/>
      <w:bookmarkStart w:id="68" w:name="Tc__ZVTDiRqZEOQOUWrZwGYlA_31_0"/>
      <w:bookmarkStart w:id="69" w:name="Tc_JKe9x8y6BU-wqqdyKDFI5g_29_0"/>
      <w:bookmarkStart w:id="70" w:name="Tc_N7tQESUGYkuWb-SnGGq5PQ_28_0"/>
      <w:bookmarkStart w:id="71" w:name="Tc_ozWjmOl_YUeX0WBhsGQ_AQ_27_6"/>
      <w:bookmarkStart w:id="72" w:name="Tc_ibFMYV5WoEmWJy_Sp4aE7A_27_0"/>
      <w:bookmarkStart w:id="73" w:name="Tc_zr4TNjEGUkeTREf0TFJpfA_25_0"/>
      <w:bookmarkStart w:id="74" w:name="Tc__kRu-y2a7UC6oUgZ0NFckQ_24_0"/>
      <w:bookmarkStart w:id="75" w:name="Tc_vTaiuNZ1FUWMaZO0KHIH2w_23_6"/>
      <w:bookmarkStart w:id="76" w:name="Tc_oWPQC_S8yUSEzLuPxwWl4Q_23_0"/>
      <w:bookmarkStart w:id="77" w:name="Tc_sVPm3ScRvkm5LoICk_Q05A_22_0"/>
      <w:bookmarkStart w:id="78" w:name="Tc_93eH_KR0iEaAy6JjHBm-_A_21_5"/>
      <w:bookmarkStart w:id="79" w:name="Tc_i4oCMQseu0K3JU1JRDqbgw_21_2"/>
      <w:bookmarkStart w:id="80" w:name="Tc_QLPylnUboESgi0YMzp4c9A_21_0"/>
      <w:bookmarkStart w:id="81" w:name="Tc_3SmPYrXFf0aL56cuMoNVmg_20_0"/>
      <w:bookmarkStart w:id="82" w:name="Tc_R9dkucBGN06MQbgLpRgavA_18_0"/>
      <w:bookmarkStart w:id="83" w:name="Tc_Z_G99_B8dkeWXMrRNIFJRA_16_5"/>
      <w:bookmarkStart w:id="84" w:name="Tc_CGjGx-Aeb0GJNLqzsd7Vlw_16_2"/>
      <w:bookmarkStart w:id="85" w:name="Tc_CRtayjSB-kaJg68zDoy0cA_16_0"/>
      <w:bookmarkStart w:id="86" w:name="Tc_Se1_S6mGe0i8nUf2igWYDQ_15_0"/>
      <w:bookmarkStart w:id="87" w:name="Tc_UOacSOS63Ei3SM8DZ7rE3g_14_0"/>
      <w:bookmarkStart w:id="88" w:name="Tc_fCqLRIVENU6lK-MFOk-njg_13_0"/>
      <w:bookmarkStart w:id="89" w:name="Tc_qH6tOvHdBk2K2O4fyz1PQg_12_6"/>
      <w:bookmarkStart w:id="90" w:name="Tc_lfuqZs7sQEilj1vD8Nw6eA_12_0"/>
      <w:bookmarkStart w:id="91" w:name="Tc_m8gbxxOVz0yhPEmTQgwZFQ_11_0"/>
      <w:bookmarkStart w:id="92" w:name="Tc_YAaOoBKo_ECUsdL_Ju6iGw_10_6"/>
      <w:bookmarkStart w:id="93" w:name="Tc_RuHYtuyPuEKw_VxyXtKmag_10_0"/>
      <w:bookmarkStart w:id="94" w:name="Tc_s3VUstVO8kq_Z7g7WbfA4Q_8_0"/>
      <w:bookmarkStart w:id="95" w:name="Tc_7-ZsdjGw0EqI0Un1OTOOcQ_7_0"/>
      <w:bookmarkStart w:id="96" w:name="Tc_ENylBCLCp0WfwsHjbo5dyA_6_5"/>
      <w:bookmarkStart w:id="97" w:name="Tc_ePev61WtGE6dZRL1OkL40Q_6_2"/>
      <w:bookmarkStart w:id="98" w:name="Tc_q8ZlRGLP70-4gQtlqe2MRg_6_0"/>
      <w:bookmarkStart w:id="99" w:name="Tc_kYhkN54-v0msU683t3imOw_5_0"/>
      <w:bookmarkStart w:id="100" w:name="Tc_5U2Zm0YvQkSeLH0AAt6V9g_3_0"/>
      <w:bookmarkStart w:id="101" w:name="Tc_uixRihJgkkW34U7K8L9Luw_2_5"/>
      <w:bookmarkStart w:id="102" w:name="Tc_BsRa_CeXU0iCTHzJn_xPsQ_2_2"/>
      <w:bookmarkStart w:id="103" w:name="Tc_vtuh6WjZ7EiSV-V49IL_tQ_1_5"/>
      <w:bookmarkStart w:id="104" w:name="Tc_uCMqAnlKs0eX-NdLbf4Dww_1_2"/>
      <w:bookmarkStart w:id="105" w:name="_3f4f5928_9a88_4da0_b798_d390e087e408"/>
      <w:bookmarkStart w:id="106" w:name="Tc_2yNL8JzN70OH6UkNRY3tyg_42_5"/>
      <w:bookmarkStart w:id="107" w:name="Tc_J59kVbQYNU-N7NrLD9-UAw_42_2"/>
      <w:bookmarkStart w:id="108" w:name="Tc_VoMcasTpSUiKO_RxGz0k5A_42_0"/>
      <w:bookmarkStart w:id="109" w:name="Tc_odU0CY9f2EeN5s3zbPJFDQ_41_0"/>
      <w:bookmarkStart w:id="110" w:name="Tc_nLbC7Mes40ClIG-fnW6RdQ_40_0"/>
      <w:bookmarkStart w:id="111" w:name="Tc_Q1B-YIRUHUyz4dCbLltpeQ_39_0"/>
      <w:bookmarkStart w:id="112" w:name="Tc_4xnvK0RWGk-HlQkA2eoaDw_38_0"/>
      <w:bookmarkStart w:id="113" w:name="Tc_-pCKI2MhrkSmMrPN6-BJLg_37_0"/>
      <w:bookmarkStart w:id="114" w:name="Tc_LD5pRuUULUqyFeKUQgxI5w_36_0"/>
      <w:bookmarkStart w:id="115" w:name="Tc_Tdv68YgTykqW61B85ynEVg_34_6"/>
      <w:bookmarkStart w:id="116" w:name="Tc_8b7FmktzKU6AOr5Zie0-vQ_34_0"/>
      <w:bookmarkStart w:id="117" w:name="Tc_Dm9gowygj06VPis1T6nuGg_33_3"/>
      <w:bookmarkStart w:id="118" w:name="Tc_A6s71fQkr0-ybkTyISr0Qg_33_0"/>
      <w:bookmarkStart w:id="119" w:name="Tc_PEFwYM1_dU6woQPStSdxpA_32_0"/>
      <w:bookmarkStart w:id="120" w:name="Tc__ZVTDiRqZEOQOUWrZwGYlA_31_0"/>
      <w:bookmarkStart w:id="121" w:name="Tc_JKe9x8y6BU-wqqdyKDFI5g_29_0"/>
      <w:bookmarkStart w:id="122" w:name="Tc_N7tQESUGYkuWb-SnGGq5PQ_28_0"/>
      <w:bookmarkStart w:id="123" w:name="Tc_ozWjmOl_YUeX0WBhsGQ_AQ_27_6"/>
      <w:bookmarkStart w:id="124" w:name="Tc_ibFMYV5WoEmWJy_Sp4aE7A_27_0"/>
      <w:bookmarkStart w:id="125" w:name="Tc_zr4TNjEGUkeTREf0TFJpfA_25_0"/>
      <w:bookmarkStart w:id="126" w:name="Tc__kRu-y2a7UC6oUgZ0NFckQ_24_0"/>
      <w:bookmarkStart w:id="127" w:name="Tc_vTaiuNZ1FUWMaZO0KHIH2w_23_6"/>
      <w:bookmarkStart w:id="128" w:name="Tc_oWPQC_S8yUSEzLuPxwWl4Q_23_0"/>
      <w:bookmarkStart w:id="129" w:name="Tc_sVPm3ScRvkm5LoICk_Q05A_22_0"/>
      <w:bookmarkStart w:id="130" w:name="Tc_93eH_KR0iEaAy6JjHBm-_A_21_5"/>
      <w:bookmarkStart w:id="131" w:name="Tc_i4oCMQseu0K3JU1JRDqbgw_21_2"/>
      <w:bookmarkStart w:id="132" w:name="Tc_QLPylnUboESgi0YMzp4c9A_21_0"/>
      <w:bookmarkStart w:id="133" w:name="Tc_3SmPYrXFf0aL56cuMoNVmg_20_0"/>
      <w:bookmarkStart w:id="134" w:name="Tc_R9dkucBGN06MQbgLpRgavA_18_0"/>
      <w:bookmarkStart w:id="135" w:name="Tc_Z_G99_B8dkeWXMrRNIFJRA_16_5"/>
      <w:bookmarkStart w:id="136" w:name="Tc_CGjGx-Aeb0GJNLqzsd7Vlw_16_2"/>
      <w:bookmarkStart w:id="137" w:name="Tc_CRtayjSB-kaJg68zDoy0cA_16_0"/>
      <w:bookmarkStart w:id="138" w:name="Tc_Se1_S6mGe0i8nUf2igWYDQ_15_0"/>
      <w:bookmarkStart w:id="139" w:name="Tc_UOacSOS63Ei3SM8DZ7rE3g_14_0"/>
      <w:bookmarkStart w:id="140" w:name="Tc_fCqLRIVENU6lK-MFOk-njg_13_0"/>
      <w:bookmarkStart w:id="141" w:name="Tc_qH6tOvHdBk2K2O4fyz1PQg_12_6"/>
      <w:bookmarkStart w:id="142" w:name="Tc_lfuqZs7sQEilj1vD8Nw6eA_12_0"/>
      <w:bookmarkStart w:id="143" w:name="Tc_m8gbxxOVz0yhPEmTQgwZFQ_11_0"/>
      <w:bookmarkStart w:id="144" w:name="Tc_YAaOoBKo_ECUsdL_Ju6iGw_10_6"/>
      <w:bookmarkStart w:id="145" w:name="Tc_RuHYtuyPuEKw_VxyXtKmag_10_0"/>
      <w:bookmarkStart w:id="146" w:name="Tc_s3VUstVO8kq_Z7g7WbfA4Q_8_0"/>
      <w:bookmarkStart w:id="147" w:name="Tc_7-ZsdjGw0EqI0Un1OTOOcQ_7_0"/>
      <w:bookmarkStart w:id="148" w:name="Tc_ENylBCLCp0WfwsHjbo5dyA_6_5"/>
      <w:bookmarkStart w:id="149" w:name="Tc_ePev61WtGE6dZRL1OkL40Q_6_2"/>
      <w:bookmarkStart w:id="150" w:name="Tc_q8ZlRGLP70-4gQtlqe2MRg_6_0"/>
      <w:bookmarkStart w:id="151" w:name="Tc_kYhkN54-v0msU683t3imOw_5_0"/>
      <w:bookmarkStart w:id="152" w:name="Tc_5U2Zm0YvQkSeLH0AAt6V9g_3_0"/>
      <w:bookmarkStart w:id="153" w:name="Tc_uixRihJgkkW34U7K8L9Luw_2_5"/>
      <w:bookmarkStart w:id="154" w:name="Tc_BsRa_CeXU0iCTHzJn_xPsQ_2_2"/>
      <w:bookmarkStart w:id="155" w:name="Tc_vtuh6WjZ7EiSV-V49IL_tQ_1_5"/>
      <w:bookmarkStart w:id="156" w:name="Tc_uCMqAnlKs0eX-NdLbf4Dww_1_2"/>
      <w:bookmarkStart w:id="157" w:name="_3f4f5928_9a88_4da0_b798_d390e087e40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tbl>
      <w:tblPr>
        <w:tblW w:w="10205" w:type="dxa"/>
        <w:jc w:val="left"/>
        <w:tblInd w:w="0" w:type="dxa"/>
        <w:tblLayout w:type="fixed"/>
        <w:tblCellMar>
          <w:top w:w="0" w:type="dxa"/>
          <w:left w:w="0" w:type="dxa"/>
          <w:bottom w:w="0" w:type="dxa"/>
          <w:right w:w="0" w:type="dxa"/>
        </w:tblCellMar>
      </w:tblPr>
      <w:tblGrid>
        <w:gridCol w:w="6750"/>
        <w:gridCol w:w="346"/>
        <w:gridCol w:w="196"/>
        <w:gridCol w:w="990"/>
        <w:gridCol w:w="346"/>
        <w:gridCol w:w="274"/>
        <w:gridCol w:w="1303"/>
      </w:tblGrid>
      <w:tr>
        <w:trPr/>
        <w:tc>
          <w:tcPr>
            <w:tcW w:w="6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286250" cy="175260"/>
                      <wp:effectExtent l="0" t="0" r="0" b="0"/>
                      <wp:wrapNone/>
                      <wp:docPr id="1" name="Frame1"/>
                      <a:graphic xmlns:a="http://schemas.openxmlformats.org/drawingml/2006/main">
                        <a:graphicData uri="http://schemas.microsoft.com/office/word/2010/wordprocessingShape">
                          <wps:wsp>
                            <wps:cNvSpPr txBox="1"/>
                            <wps:spPr>
                              <a:xfrm>
                                <a:off x="0" y="0"/>
                                <a:ext cx="428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28650" cy="175260"/>
                      <wp:effectExtent l="0" t="0" r="0" b="0"/>
                      <wp:wrapNone/>
                      <wp:docPr id="4" name="Frame4"/>
                      <a:graphic xmlns:a="http://schemas.openxmlformats.org/drawingml/2006/main">
                        <a:graphicData uri="http://schemas.microsoft.com/office/word/2010/wordprocessingShape">
                          <wps:wsp>
                            <wps:cNvSpPr txBox="1"/>
                            <wps:spPr>
                              <a:xfrm>
                                <a:off x="0" y="0"/>
                                <a:ext cx="628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73990" cy="175260"/>
                      <wp:effectExtent l="0" t="0" r="0" b="0"/>
                      <wp:wrapNone/>
                      <wp:docPr id="6" name="Frame6"/>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827405" cy="175260"/>
                      <wp:effectExtent l="0" t="0" r="0" b="0"/>
                      <wp:wrapNone/>
                      <wp:docPr id="7" name="Frame7"/>
                      <a:graphic xmlns:a="http://schemas.openxmlformats.org/drawingml/2006/main">
                        <a:graphicData uri="http://schemas.microsoft.com/office/word/2010/wordprocessingShape">
                          <wps:wsp>
                            <wps:cNvSpPr txBox="1"/>
                            <wps:spPr>
                              <a:xfrm>
                                <a:off x="0" y="0"/>
                                <a:ext cx="827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5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 ​ ​</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46" w:type="dxa"/>
            <w:tcBorders/>
            <w:vAlign w:val="center"/>
          </w:tcPr>
          <w:p>
            <w:pPr>
              <w:pStyle w:val="TableContents"/>
              <w:bidi w:val="0"/>
              <w:spacing w:before="0" w:after="0"/>
              <w:ind w:left="0" w:right="0" w:hanging="0"/>
              <w:jc w:val="right"/>
              <w:rPr/>
            </w:pPr>
            <w:r>
              <w:rPr/>
              <w:t>  ​ ​ ​</w:t>
            </w:r>
          </w:p>
        </w:tc>
        <w:tc>
          <w:tcPr>
            <w:tcW w:w="15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November 30, 2025</w:t>
            </w:r>
          </w:p>
        </w:tc>
      </w:tr>
      <w:tr>
        <w:trPr/>
        <w:tc>
          <w:tcPr>
            <w:tcW w:w="675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right"/>
              <w:rPr/>
            </w:pPr>
            <w:r>
              <w:rPr/>
              <w:t>  ​ ​ ​</w:t>
            </w:r>
          </w:p>
        </w:tc>
        <w:tc>
          <w:tcPr>
            <w:tcW w:w="15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left"/>
              <w:rPr/>
            </w:pPr>
            <w:r>
              <w:rPr/>
              <w:t>​</w:t>
            </w:r>
          </w:p>
        </w:tc>
        <w:tc>
          <w:tcPr>
            <w:tcW w:w="1303" w:type="dxa"/>
            <w:tcBorders/>
            <w:shd w:fill="CCEEFF" w:val="clear"/>
            <w:vAlign w:val="center"/>
          </w:tcPr>
          <w:p>
            <w:pPr>
              <w:pStyle w:val="TableContents"/>
              <w:bidi w:val="0"/>
              <w:spacing w:before="0" w:after="0"/>
              <w:ind w:left="0" w:right="0" w:hanging="0"/>
              <w:jc w:val="right"/>
              <w:rPr/>
            </w:pPr>
            <w:r>
              <w:rPr/>
              <w:t>  ​</w:t>
            </w:r>
          </w:p>
        </w:tc>
      </w:tr>
      <w:tr>
        <w:trPr/>
        <w:tc>
          <w:tcPr>
            <w:tcW w:w="67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303" w:type="dxa"/>
            <w:tcBorders/>
            <w:vAlign w:val="center"/>
          </w:tcPr>
          <w:p>
            <w:pPr>
              <w:pStyle w:val="TableContents"/>
              <w:bidi w:val="0"/>
              <w:spacing w:before="0" w:after="0"/>
              <w:ind w:left="0" w:right="0" w:hanging="0"/>
              <w:jc w:val="left"/>
              <w:rPr/>
            </w:pPr>
            <w:r>
              <w:rPr/>
              <w:t>​</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left"/>
              <w:rPr/>
            </w:pPr>
            <w:r>
              <w:rPr/>
              <w:t>​</w:t>
            </w:r>
          </w:p>
        </w:tc>
        <w:tc>
          <w:tcPr>
            <w:tcW w:w="1303" w:type="dxa"/>
            <w:tcBorders/>
            <w:shd w:fill="CCEEFF" w:val="clear"/>
            <w:vAlign w:val="center"/>
          </w:tcPr>
          <w:p>
            <w:pPr>
              <w:pStyle w:val="TableContents"/>
              <w:bidi w:val="0"/>
              <w:spacing w:before="0" w:after="0"/>
              <w:ind w:left="0" w:right="0" w:hanging="0"/>
              <w:jc w:val="right"/>
              <w:rPr/>
            </w:pPr>
            <w:r>
              <w:rPr/>
              <w:t>  ​</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28,091,090</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3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1,301,928</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898,822</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162,897</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28,989,912</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3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1,464,825</w:t>
            </w:r>
          </w:p>
        </w:tc>
      </w:tr>
      <w:tr>
        <w:trPr/>
        <w:tc>
          <w:tcPr>
            <w:tcW w:w="675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303" w:type="dxa"/>
            <w:tcBorders/>
            <w:shd w:fill="CCEEFF" w:val="clear"/>
            <w:vAlign w:val="center"/>
          </w:tcPr>
          <w:p>
            <w:pPr>
              <w:pStyle w:val="TableContents"/>
              <w:bidi w:val="0"/>
              <w:spacing w:before="0" w:after="0"/>
              <w:ind w:left="0" w:right="0" w:hanging="0"/>
              <w:jc w:val="left"/>
              <w:rPr/>
            </w:pPr>
            <w:r>
              <w:rPr/>
              <w:t>​</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190,960</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303" w:type="dxa"/>
            <w:tcBorders/>
            <w:vAlign w:val="center"/>
          </w:tcPr>
          <w:p>
            <w:pPr>
              <w:pStyle w:val="TableContents"/>
              <w:bidi w:val="0"/>
              <w:spacing w:before="0" w:after="0"/>
              <w:ind w:left="0" w:right="0" w:hanging="0"/>
              <w:jc w:val="right"/>
              <w:rPr/>
            </w:pPr>
            <w:r>
              <w:rPr/>
              <w:t>—</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Deposits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71,506</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3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71,506</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plant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283,877</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303" w:type="dxa"/>
            <w:tcBorders/>
            <w:vAlign w:val="center"/>
          </w:tcPr>
          <w:p>
            <w:pPr>
              <w:pStyle w:val="TableContents"/>
              <w:bidi w:val="0"/>
              <w:spacing w:before="0" w:after="0"/>
              <w:ind w:left="0" w:right="0" w:hanging="0"/>
              <w:jc w:val="right"/>
              <w:rPr/>
            </w:pPr>
            <w:r>
              <w:rPr/>
              <w:t>—</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96,450</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3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65,915</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Mineral rights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12,755,725</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3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1,201,390</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 of use asset – operating lease,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701,311</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84,326</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43,089,741</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3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2,887,962</w:t>
            </w:r>
          </w:p>
        </w:tc>
      </w:tr>
      <w:tr>
        <w:trPr/>
        <w:tc>
          <w:tcPr>
            <w:tcW w:w="675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303" w:type="dxa"/>
            <w:tcBorders/>
            <w:shd w:fill="CCEEFF" w:val="clear"/>
            <w:vAlign w:val="center"/>
          </w:tcPr>
          <w:p>
            <w:pPr>
              <w:pStyle w:val="TableContents"/>
              <w:bidi w:val="0"/>
              <w:spacing w:before="0" w:after="0"/>
              <w:ind w:left="0" w:right="0" w:hanging="0"/>
              <w:jc w:val="left"/>
              <w:rPr/>
            </w:pPr>
            <w:r>
              <w:rPr/>
              <w:t>​</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 Mezzanine Equity, and Stockholders’ Equity (Deficit)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303" w:type="dxa"/>
            <w:tcBorders/>
            <w:vAlign w:val="center"/>
          </w:tcPr>
          <w:p>
            <w:pPr>
              <w:pStyle w:val="TableContents"/>
              <w:bidi w:val="0"/>
              <w:spacing w:before="0" w:after="0"/>
              <w:ind w:left="0" w:right="0" w:hanging="0"/>
              <w:jc w:val="right"/>
              <w:rPr/>
            </w:pPr>
            <w:r>
              <w:rPr/>
              <w:t>  ​</w:t>
            </w:r>
          </w:p>
        </w:tc>
      </w:tr>
      <w:tr>
        <w:trPr/>
        <w:tc>
          <w:tcPr>
            <w:tcW w:w="675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303" w:type="dxa"/>
            <w:tcBorders/>
            <w:shd w:fill="CCEEFF" w:val="clear"/>
            <w:vAlign w:val="center"/>
          </w:tcPr>
          <w:p>
            <w:pPr>
              <w:pStyle w:val="TableContents"/>
              <w:bidi w:val="0"/>
              <w:spacing w:before="0" w:after="0"/>
              <w:ind w:left="0" w:right="0" w:hanging="0"/>
              <w:jc w:val="left"/>
              <w:rPr/>
            </w:pPr>
            <w:r>
              <w:rPr/>
              <w:t>​</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303" w:type="dxa"/>
            <w:tcBorders/>
            <w:vAlign w:val="center"/>
          </w:tcPr>
          <w:p>
            <w:pPr>
              <w:pStyle w:val="TableContents"/>
              <w:bidi w:val="0"/>
              <w:spacing w:before="0" w:after="0"/>
              <w:ind w:left="0" w:right="0" w:hanging="0"/>
              <w:jc w:val="right"/>
              <w:rPr/>
            </w:pPr>
            <w:r>
              <w:rPr/>
              <w:t>  ​</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 and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783,866</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3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530,339</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Due to related parties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120,130</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3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280,025</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781,151</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303" w:type="dxa"/>
            <w:tcBorders/>
            <w:shd w:fill="CCEEFF" w:val="clear"/>
            <w:vAlign w:val="center"/>
          </w:tcPr>
          <w:p>
            <w:pPr>
              <w:pStyle w:val="TableContents"/>
              <w:bidi w:val="0"/>
              <w:spacing w:before="0" w:after="0"/>
              <w:ind w:left="0" w:right="0" w:hanging="0"/>
              <w:jc w:val="right"/>
              <w:rPr/>
            </w:pPr>
            <w:r>
              <w:rPr/>
              <w:t>—</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liabilities – current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140,075</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33,155</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1,825,222</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3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843,519</w:t>
            </w:r>
          </w:p>
        </w:tc>
      </w:tr>
      <w:tr>
        <w:trPr/>
        <w:tc>
          <w:tcPr>
            <w:tcW w:w="67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303" w:type="dxa"/>
            <w:tcBorders/>
            <w:vAlign w:val="center"/>
          </w:tcPr>
          <w:p>
            <w:pPr>
              <w:pStyle w:val="TableContents"/>
              <w:bidi w:val="0"/>
              <w:spacing w:before="0" w:after="0"/>
              <w:ind w:left="0" w:right="0" w:hanging="0"/>
              <w:jc w:val="left"/>
              <w:rPr/>
            </w:pPr>
            <w:r>
              <w:rPr/>
              <w:t>​</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Warrant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21,925,000</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303" w:type="dxa"/>
            <w:tcBorders/>
            <w:shd w:fill="CCEEFF" w:val="clear"/>
            <w:vAlign w:val="center"/>
          </w:tcPr>
          <w:p>
            <w:pPr>
              <w:pStyle w:val="TableContents"/>
              <w:bidi w:val="0"/>
              <w:spacing w:before="0" w:after="0"/>
              <w:ind w:left="0" w:right="0" w:hanging="0"/>
              <w:jc w:val="right"/>
              <w:rPr/>
            </w:pPr>
            <w:r>
              <w:rPr/>
              <w:t>—</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liabilities – non-current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589,935</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55,086</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24,340,157</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898,605</w:t>
            </w:r>
          </w:p>
        </w:tc>
      </w:tr>
      <w:tr>
        <w:trPr/>
        <w:tc>
          <w:tcPr>
            <w:tcW w:w="67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303" w:type="dxa"/>
            <w:tcBorders/>
            <w:vAlign w:val="center"/>
          </w:tcPr>
          <w:p>
            <w:pPr>
              <w:pStyle w:val="TableContents"/>
              <w:bidi w:val="0"/>
              <w:spacing w:before="0" w:after="0"/>
              <w:ind w:left="0" w:right="0" w:hanging="0"/>
              <w:jc w:val="left"/>
              <w:rPr/>
            </w:pPr>
            <w:r>
              <w:rPr/>
              <w:t>​</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Commitments and contingencies (Note 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303" w:type="dxa"/>
            <w:tcBorders/>
            <w:shd w:fill="CCEEFF" w:val="clear"/>
            <w:vAlign w:val="center"/>
          </w:tcPr>
          <w:p>
            <w:pPr>
              <w:pStyle w:val="TableContents"/>
              <w:bidi w:val="0"/>
              <w:spacing w:before="0" w:after="0"/>
              <w:ind w:left="0" w:right="0" w:hanging="0"/>
              <w:jc w:val="right"/>
              <w:rPr/>
            </w:pPr>
            <w:r>
              <w:rPr/>
              <w:t>  ​</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Mezzanine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303" w:type="dxa"/>
            <w:tcBorders/>
            <w:vAlign w:val="center"/>
          </w:tcPr>
          <w:p>
            <w:pPr>
              <w:pStyle w:val="TableContents"/>
              <w:bidi w:val="0"/>
              <w:spacing w:before="0" w:after="0"/>
              <w:ind w:left="0" w:right="0" w:hanging="0"/>
              <w:jc w:val="right"/>
              <w:rPr/>
            </w:pPr>
            <w:r>
              <w:rPr/>
              <w:t>  ​</w:t>
            </w:r>
          </w:p>
        </w:tc>
      </w:tr>
      <w:tr>
        <w:trPr/>
        <w:tc>
          <w:tcPr>
            <w:tcW w:w="6750"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Redeemable common stock, $0.0001 par value, 300,000,000 shares authorized; none issued and outstanding as of May 31, 2026 ($0.0001 par value, 350,000,000 shares authorized; 2,750,000 issued and subject to possible redemption at $0.11 per share as of November 30, 2025)</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3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300,000</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Series A Cumulative Preferred Stock, redeemable, $0.0001 par value, 3,500,000 shares authorized; 29,700 shares issued and subject to possible redemption beginning February 24, 2031 at $1,000 per share plus accrued and unpaid dividends, as of May 31, 2026 ($0.0001 par value, 50,000,000 shares authorized; none as of November 30, 2025)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25,729,800</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303" w:type="dxa"/>
            <w:tcBorders/>
            <w:vAlign w:val="center"/>
          </w:tcPr>
          <w:p>
            <w:pPr>
              <w:pStyle w:val="TableContents"/>
              <w:bidi w:val="0"/>
              <w:spacing w:before="0" w:after="0"/>
              <w:ind w:left="0" w:right="0" w:hanging="0"/>
              <w:jc w:val="right"/>
              <w:rPr/>
            </w:pPr>
            <w:r>
              <w:rPr/>
              <w:t>—</w:t>
            </w:r>
          </w:p>
        </w:tc>
      </w:tr>
      <w:tr>
        <w:trPr/>
        <w:tc>
          <w:tcPr>
            <w:tcW w:w="675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9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303" w:type="dxa"/>
            <w:tcBorders/>
            <w:shd w:fill="CCEEFF" w:val="clear"/>
            <w:vAlign w:val="center"/>
          </w:tcPr>
          <w:p>
            <w:pPr>
              <w:pStyle w:val="TableContents"/>
              <w:bidi w:val="0"/>
              <w:spacing w:before="0" w:after="0"/>
              <w:ind w:left="0" w:right="0" w:hanging="0"/>
              <w:jc w:val="left"/>
              <w:rPr/>
            </w:pPr>
            <w:r>
              <w:rPr/>
              <w:t>​</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Stockholders’ equity (deficit)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303" w:type="dxa"/>
            <w:tcBorders/>
            <w:vAlign w:val="center"/>
          </w:tcPr>
          <w:p>
            <w:pPr>
              <w:pStyle w:val="TableContents"/>
              <w:bidi w:val="0"/>
              <w:spacing w:before="0" w:after="0"/>
              <w:ind w:left="0" w:right="0" w:hanging="0"/>
              <w:jc w:val="right"/>
              <w:rPr/>
            </w:pPr>
            <w:r>
              <w:rPr/>
              <w:t>  ​</w:t>
            </w:r>
          </w:p>
        </w:tc>
      </w:tr>
      <w:tr>
        <w:trPr/>
        <w:tc>
          <w:tcPr>
            <w:tcW w:w="6750"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Common stock, $0.0001 par value, 300,000,000 shares authorized; 29,579,798 shares issued and outstanding as of May 31, 2026 ($0.0001 par value, 350,000,000 shares authorized; 18,888,289 shares, excluding 2,750,000 shares subject to possible redemption as of November 30, 2025)</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2,958</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3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1,889</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$0.0001 par value, 3,500,000 shares authorized; none issued and outstanding, excluding 29,700 shares subject to possible redemption as of May 31, 2026 ($0.0001 par value, 50,000,000 shares authorized; none as of November 30, 2025)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303"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6750"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26,612,495</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3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7,968,157</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(33,595,669)</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(6,280,689)</w:t>
            </w:r>
          </w:p>
        </w:tc>
      </w:tr>
      <w:tr>
        <w:trPr/>
        <w:tc>
          <w:tcPr>
            <w:tcW w:w="675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stockholders’ equity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(6,980,216)</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1,689,357</w:t>
            </w:r>
          </w:p>
        </w:tc>
      </w:tr>
      <w:tr>
        <w:trPr/>
        <w:tc>
          <w:tcPr>
            <w:tcW w:w="6750"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 mezzanine equity and stockholders’ equity (deficit)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43,089,741</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30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2,887,962</w:t>
            </w:r>
          </w:p>
        </w:tc>
      </w:tr>
    </w:tbl>
    <w:p>
      <w:pPr>
        <w:pStyle w:val="Normal"/>
        <w:bidi w:val="0"/>
        <w:spacing w:before="0" w:after="0"/>
        <w:jc w:val="left"/>
        <w:rPr>
          <w:sz w:val="4"/>
          <w:szCs w:val="4"/>
        </w:rPr>
      </w:pPr>
      <w:r>
        <w:rPr>
          <w:sz w:val="4"/>
          <w:szCs w:val="4"/>
        </w:rPr>
      </w:r>
      <w:bookmarkStart w:id="158" w:name="_17411659_f9a6_40c5_8031_fa9196bf501c"/>
      <w:bookmarkStart w:id="159" w:name="_17411659_f9a6_40c5_8031_fa9196bf501c"/>
      <w:bookmarkEnd w:id="159"/>
    </w:p>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(1)</w:t>
            </w:r>
          </w:p>
        </w:tc>
        <w:tc>
          <w:tcPr>
            <w:tcW w:w="9899"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The shares of the Company’s common stock, prior to the de-SPAC (as defined in Note 1) have been retroactively restated to reflect the exchange ratio of approximately 5.8349:1 established in the de-SPAC, as described in Note 4.</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interim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60" w:name="_f24dcd79_4df4_40a3_bf55_3cebabd031ca"/>
      <w:bookmarkEnd w:id="160"/>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bookmarkStart w:id="161" w:name="STATEMENTSOFOPERATIONS_90993"/>
      <w:bookmarkEnd w:id="161"/>
      <w:r>
        <w:rPr>
          <w:rFonts w:ascii="Times New Roman;Times;serif" w:hAnsi="Times New Roman;Times;serif"/>
          <w:b/>
          <w:sz w:val="20"/>
        </w:rPr>
        <w:t>CONDENSED CONSOLIDATED INTERIM STATEMENTS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Normal"/>
        <w:bidi w:val="0"/>
        <w:spacing w:before="0" w:after="0"/>
        <w:jc w:val="left"/>
        <w:rPr>
          <w:sz w:val="4"/>
          <w:szCs w:val="4"/>
        </w:rPr>
      </w:pPr>
      <w:r>
        <w:rPr>
          <w:sz w:val="4"/>
          <w:szCs w:val="4"/>
        </w:rPr>
      </w:r>
      <w:bookmarkStart w:id="162" w:name="Tc_dhja7bE_i06VNAhXHQBWsg_31_11"/>
      <w:bookmarkStart w:id="163" w:name="Tc_Lq3BSCts40WVsyX-pI4X5g_31_8"/>
      <w:bookmarkStart w:id="164" w:name="Tc_hdUIzXf9TUiqdMLLa7eqdw_31_5"/>
      <w:bookmarkStart w:id="165" w:name="Tc_ufh5V7CfakON-FiAEKlSfg_31_2"/>
      <w:bookmarkStart w:id="166" w:name="Tc_f0OWLg3LUUaMYVIUaZTsCw_31_0"/>
      <w:bookmarkStart w:id="167" w:name="Tc_33p525bdMkOFjnqbl3Ipgw_29_0"/>
      <w:bookmarkStart w:id="168" w:name="Tc_JfxSmm7XPU2F6JKXXITJnA_27_11"/>
      <w:bookmarkStart w:id="169" w:name="Tc_9yj3yikS00eOV3-XTB7K7Q_27_8"/>
      <w:bookmarkStart w:id="170" w:name="Tc_pRAxoKgcQEqRWbmmZIhvmg_27_5"/>
      <w:bookmarkStart w:id="171" w:name="Tc_V2sIpqnCVk6xyV51Fphggw_27_2"/>
      <w:bookmarkStart w:id="172" w:name="Tc_8w5LTfrRikGwubuVoJ15vA_27_0"/>
      <w:bookmarkStart w:id="173" w:name="Tc_57YDKcRix0yTIzDcYN7GBA_25_12"/>
      <w:bookmarkStart w:id="174" w:name="Tc_kzpO4H-cike8IStdJzWDlQ_25_6"/>
      <w:bookmarkStart w:id="175" w:name="Tc_b0PQDo5vAkqB273Mv_HqZg_25_0"/>
      <w:bookmarkStart w:id="176" w:name="Tc_5UGDaVxqI0ePw9oAudhWrA_23_11"/>
      <w:bookmarkStart w:id="177" w:name="Tc_tSDV3BMWE0KX7wCivVbp7w_23_8"/>
      <w:bookmarkStart w:id="178" w:name="Tc_50d3jlXeqEKCkNPWlVU6uw_23_5"/>
      <w:bookmarkStart w:id="179" w:name="Tc_Ru-je_ZQIEefoaRrMQwfmA_23_2"/>
      <w:bookmarkStart w:id="180" w:name="Tc_prTTEEB1oEOZ4fbRvagnRA_23_0"/>
      <w:bookmarkStart w:id="181" w:name="Tc_-ZWFXmryokSfiA1ZcZhAmw_21_0"/>
      <w:bookmarkStart w:id="182" w:name="Tc_V1qVkZjfYUedXcIcgEKNfw_20_0"/>
      <w:bookmarkStart w:id="183" w:name="Tc_niD1Rzh00UK_PXjWr2H1lg_19_12"/>
      <w:bookmarkStart w:id="184" w:name="Tc_oSIYxIKrTEOLHBGWCmk6LA_19_6"/>
      <w:bookmarkStart w:id="185" w:name="Tc_ISnlUMcn9EmqmF-NAIsvcw_19_0"/>
      <w:bookmarkStart w:id="186" w:name="Tc_nRPAIVB6zEq_RrfnLJtoZw_18_12"/>
      <w:bookmarkStart w:id="187" w:name="Tc_ZMA1OdAfWUyndMFCGpAAfg_18_6"/>
      <w:bookmarkStart w:id="188" w:name="Tc_RsBgtHXXzEaYIztawmLJgw_18_0"/>
      <w:bookmarkStart w:id="189" w:name="Tc_Wuvpreu-FUS778tYlOWQqg_17_0"/>
      <w:bookmarkStart w:id="190" w:name="Tc_AkF9JxHm3km3FuoHEk1VCQ_15_0"/>
      <w:bookmarkStart w:id="191" w:name="Tc_7TwrnV8m70emMtLgEZSbGw_14_0"/>
      <w:bookmarkStart w:id="192" w:name="Tc_zg5flAVgiUWlpXx1ZnDe1g_13_12"/>
      <w:bookmarkStart w:id="193" w:name="Tc_nkoKhcPXTk6z-Wx0Y_-kUg_13_6"/>
      <w:bookmarkStart w:id="194" w:name="Tc_OMib4S7C9k2QeZduYKETPg_13_0"/>
      <w:bookmarkStart w:id="195" w:name="Tc_htGnFMOi5kmUt2wvHxiFyQ_12_12"/>
      <w:bookmarkStart w:id="196" w:name="Tc_56gBRJz7YEOQ1CEIU_BKoA_12_6"/>
      <w:bookmarkStart w:id="197" w:name="Tc_DUD_FzVLoEqEDvWJrWYBCA_12_0"/>
      <w:bookmarkStart w:id="198" w:name="Tc_78v5J5_rUEaKmgwNkDA1oQ_11_12"/>
      <w:bookmarkStart w:id="199" w:name="Tc_jF8zQShJIkOd1pad3vRj4g_11_6"/>
      <w:bookmarkStart w:id="200" w:name="Tc_cx859IHkI0Wq8AhZN9ZXRw_11_0"/>
      <w:bookmarkStart w:id="201" w:name="Tc_g_G8dNa2TEucYUjmSVcfAg_10_0"/>
      <w:bookmarkStart w:id="202" w:name="Tc_h1w_w5Al0kCQhL4YOun8cg_9_0"/>
      <w:bookmarkStart w:id="203" w:name="Tc_ex5CAraBNUiTPYJysk3IUQ_8_0"/>
      <w:bookmarkStart w:id="204" w:name="Tc_LTV61JDM7U2lu3MAvNczPA_7_0"/>
      <w:bookmarkStart w:id="205" w:name="Tc_eDh42MC4vUCoYrk39c5YRA_6_12"/>
      <w:bookmarkStart w:id="206" w:name="Tc_Nw8-v-Yxz0a5b-YcjNBaIg_6_6"/>
      <w:bookmarkStart w:id="207" w:name="Tc_Sh4spWIK5UWv5z47Wg1HLw_6_0"/>
      <w:bookmarkStart w:id="208" w:name="Tc_ob5MbhWbRkSu_-PLUdRTQA_5_12"/>
      <w:bookmarkStart w:id="209" w:name="Tc_9Zhnd0PY6EuHYoGU5NFMJQ_5_11"/>
      <w:bookmarkStart w:id="210" w:name="Tc_mzjkki4yHEOPxwL99PpgBw_5_8"/>
      <w:bookmarkStart w:id="211" w:name="Tc_mH--cTW5O0WxCTHKw1cpcg_5_6"/>
      <w:bookmarkStart w:id="212" w:name="Tc_MkwDuiGkakCAsZJizjurxg_5_5"/>
      <w:bookmarkStart w:id="213" w:name="Tc_K08S37y9N0aCI3ZAldSfew_5_2"/>
      <w:bookmarkStart w:id="214" w:name="Tc_Q7hlmQpA3kiuQ70q96EfTw_5_0"/>
      <w:bookmarkStart w:id="215" w:name="Tc_16T1YDAhOkW7Uxh9AYjffw_4_0"/>
      <w:bookmarkStart w:id="216" w:name="Tc_kUTQP7tZdE-S4cbCbjS5Zg_3_11"/>
      <w:bookmarkStart w:id="217" w:name="Tc_jgPs8BegpkaDgcNLl8mlsg_3_8"/>
      <w:bookmarkStart w:id="218" w:name="Tc_zwknFJ2fmUmgPOG61lUguQ_3_5"/>
      <w:bookmarkStart w:id="219" w:name="Tc_S_ABYoqxEEmfxXbkaVe83Q_3_2"/>
      <w:bookmarkStart w:id="220" w:name="Tc_-0B5SnN830W-68UQo_qUdA_2_11"/>
      <w:bookmarkStart w:id="221" w:name="Tc_mLV2kY2om0u84_b5loGqrQ_2_8"/>
      <w:bookmarkStart w:id="222" w:name="Tc_PW_ytA8dOUyZBHlLTsuyZg_2_5"/>
      <w:bookmarkStart w:id="223" w:name="Tc_Gp1kEeQMjkCAFI092HTYKg_2_2"/>
      <w:bookmarkStart w:id="224" w:name="Tc_CsD2S4DR3U2cVUqxyrL7sg_1_11"/>
      <w:bookmarkStart w:id="225" w:name="Tc_fAsrwtwXSkqxkFeuY0U5Jg_1_8"/>
      <w:bookmarkStart w:id="226" w:name="Tc_BdinZoROwEKCXjaIp08TUw_1_5"/>
      <w:bookmarkStart w:id="227" w:name="Tc_H9ehCUrDyEy4HSvB3Aqrag_1_2"/>
      <w:bookmarkStart w:id="228" w:name="_76b6209e_1dc3_4fea_95a5_afefe8c067d0"/>
      <w:bookmarkStart w:id="229" w:name="_d990e8e8_70e4_424c_89c6_9ce37fb4f34b"/>
      <w:bookmarkStart w:id="230" w:name="Tc_dhja7bE_i06VNAhXHQBWsg_31_11"/>
      <w:bookmarkStart w:id="231" w:name="Tc_Lq3BSCts40WVsyX-pI4X5g_31_8"/>
      <w:bookmarkStart w:id="232" w:name="Tc_hdUIzXf9TUiqdMLLa7eqdw_31_5"/>
      <w:bookmarkStart w:id="233" w:name="Tc_ufh5V7CfakON-FiAEKlSfg_31_2"/>
      <w:bookmarkStart w:id="234" w:name="Tc_f0OWLg3LUUaMYVIUaZTsCw_31_0"/>
      <w:bookmarkStart w:id="235" w:name="Tc_33p525bdMkOFjnqbl3Ipgw_29_0"/>
      <w:bookmarkStart w:id="236" w:name="Tc_JfxSmm7XPU2F6JKXXITJnA_27_11"/>
      <w:bookmarkStart w:id="237" w:name="Tc_9yj3yikS00eOV3-XTB7K7Q_27_8"/>
      <w:bookmarkStart w:id="238" w:name="Tc_pRAxoKgcQEqRWbmmZIhvmg_27_5"/>
      <w:bookmarkStart w:id="239" w:name="Tc_V2sIpqnCVk6xyV51Fphggw_27_2"/>
      <w:bookmarkStart w:id="240" w:name="Tc_8w5LTfrRikGwubuVoJ15vA_27_0"/>
      <w:bookmarkStart w:id="241" w:name="Tc_57YDKcRix0yTIzDcYN7GBA_25_12"/>
      <w:bookmarkStart w:id="242" w:name="Tc_kzpO4H-cike8IStdJzWDlQ_25_6"/>
      <w:bookmarkStart w:id="243" w:name="Tc_b0PQDo5vAkqB273Mv_HqZg_25_0"/>
      <w:bookmarkStart w:id="244" w:name="Tc_5UGDaVxqI0ePw9oAudhWrA_23_11"/>
      <w:bookmarkStart w:id="245" w:name="Tc_tSDV3BMWE0KX7wCivVbp7w_23_8"/>
      <w:bookmarkStart w:id="246" w:name="Tc_50d3jlXeqEKCkNPWlVU6uw_23_5"/>
      <w:bookmarkStart w:id="247" w:name="Tc_Ru-je_ZQIEefoaRrMQwfmA_23_2"/>
      <w:bookmarkStart w:id="248" w:name="Tc_prTTEEB1oEOZ4fbRvagnRA_23_0"/>
      <w:bookmarkStart w:id="249" w:name="Tc_-ZWFXmryokSfiA1ZcZhAmw_21_0"/>
      <w:bookmarkStart w:id="250" w:name="Tc_V1qVkZjfYUedXcIcgEKNfw_20_0"/>
      <w:bookmarkStart w:id="251" w:name="Tc_niD1Rzh00UK_PXjWr2H1lg_19_12"/>
      <w:bookmarkStart w:id="252" w:name="Tc_oSIYxIKrTEOLHBGWCmk6LA_19_6"/>
      <w:bookmarkStart w:id="253" w:name="Tc_ISnlUMcn9EmqmF-NAIsvcw_19_0"/>
      <w:bookmarkStart w:id="254" w:name="Tc_nRPAIVB6zEq_RrfnLJtoZw_18_12"/>
      <w:bookmarkStart w:id="255" w:name="Tc_ZMA1OdAfWUyndMFCGpAAfg_18_6"/>
      <w:bookmarkStart w:id="256" w:name="Tc_RsBgtHXXzEaYIztawmLJgw_18_0"/>
      <w:bookmarkStart w:id="257" w:name="Tc_Wuvpreu-FUS778tYlOWQqg_17_0"/>
      <w:bookmarkStart w:id="258" w:name="Tc_AkF9JxHm3km3FuoHEk1VCQ_15_0"/>
      <w:bookmarkStart w:id="259" w:name="Tc_7TwrnV8m70emMtLgEZSbGw_14_0"/>
      <w:bookmarkStart w:id="260" w:name="Tc_zg5flAVgiUWlpXx1ZnDe1g_13_12"/>
      <w:bookmarkStart w:id="261" w:name="Tc_nkoKhcPXTk6z-Wx0Y_-kUg_13_6"/>
      <w:bookmarkStart w:id="262" w:name="Tc_OMib4S7C9k2QeZduYKETPg_13_0"/>
      <w:bookmarkStart w:id="263" w:name="Tc_htGnFMOi5kmUt2wvHxiFyQ_12_12"/>
      <w:bookmarkStart w:id="264" w:name="Tc_56gBRJz7YEOQ1CEIU_BKoA_12_6"/>
      <w:bookmarkStart w:id="265" w:name="Tc_DUD_FzVLoEqEDvWJrWYBCA_12_0"/>
      <w:bookmarkStart w:id="266" w:name="Tc_78v5J5_rUEaKmgwNkDA1oQ_11_12"/>
      <w:bookmarkStart w:id="267" w:name="Tc_jF8zQShJIkOd1pad3vRj4g_11_6"/>
      <w:bookmarkStart w:id="268" w:name="Tc_cx859IHkI0Wq8AhZN9ZXRw_11_0"/>
      <w:bookmarkStart w:id="269" w:name="Tc_g_G8dNa2TEucYUjmSVcfAg_10_0"/>
      <w:bookmarkStart w:id="270" w:name="Tc_h1w_w5Al0kCQhL4YOun8cg_9_0"/>
      <w:bookmarkStart w:id="271" w:name="Tc_ex5CAraBNUiTPYJysk3IUQ_8_0"/>
      <w:bookmarkStart w:id="272" w:name="Tc_LTV61JDM7U2lu3MAvNczPA_7_0"/>
      <w:bookmarkStart w:id="273" w:name="Tc_eDh42MC4vUCoYrk39c5YRA_6_12"/>
      <w:bookmarkStart w:id="274" w:name="Tc_Nw8-v-Yxz0a5b-YcjNBaIg_6_6"/>
      <w:bookmarkStart w:id="275" w:name="Tc_Sh4spWIK5UWv5z47Wg1HLw_6_0"/>
      <w:bookmarkStart w:id="276" w:name="Tc_ob5MbhWbRkSu_-PLUdRTQA_5_12"/>
      <w:bookmarkStart w:id="277" w:name="Tc_9Zhnd0PY6EuHYoGU5NFMJQ_5_11"/>
      <w:bookmarkStart w:id="278" w:name="Tc_mzjkki4yHEOPxwL99PpgBw_5_8"/>
      <w:bookmarkStart w:id="279" w:name="Tc_mH--cTW5O0WxCTHKw1cpcg_5_6"/>
      <w:bookmarkStart w:id="280" w:name="Tc_MkwDuiGkakCAsZJizjurxg_5_5"/>
      <w:bookmarkStart w:id="281" w:name="Tc_K08S37y9N0aCI3ZAldSfew_5_2"/>
      <w:bookmarkStart w:id="282" w:name="Tc_Q7hlmQpA3kiuQ70q96EfTw_5_0"/>
      <w:bookmarkStart w:id="283" w:name="Tc_16T1YDAhOkW7Uxh9AYjffw_4_0"/>
      <w:bookmarkStart w:id="284" w:name="Tc_kUTQP7tZdE-S4cbCbjS5Zg_3_11"/>
      <w:bookmarkStart w:id="285" w:name="Tc_jgPs8BegpkaDgcNLl8mlsg_3_8"/>
      <w:bookmarkStart w:id="286" w:name="Tc_zwknFJ2fmUmgPOG61lUguQ_3_5"/>
      <w:bookmarkStart w:id="287" w:name="Tc_S_ABYoqxEEmfxXbkaVe83Q_3_2"/>
      <w:bookmarkStart w:id="288" w:name="Tc_-0B5SnN830W-68UQo_qUdA_2_11"/>
      <w:bookmarkStart w:id="289" w:name="Tc_mLV2kY2om0u84_b5loGqrQ_2_8"/>
      <w:bookmarkStart w:id="290" w:name="Tc_PW_ytA8dOUyZBHlLTsuyZg_2_5"/>
      <w:bookmarkStart w:id="291" w:name="Tc_Gp1kEeQMjkCAFI092HTYKg_2_2"/>
      <w:bookmarkStart w:id="292" w:name="Tc_CsD2S4DR3U2cVUqxyrL7sg_1_11"/>
      <w:bookmarkStart w:id="293" w:name="Tc_fAsrwtwXSkqxkFeuY0U5Jg_1_8"/>
      <w:bookmarkStart w:id="294" w:name="Tc_BdinZoROwEKCXjaIp08TUw_1_5"/>
      <w:bookmarkStart w:id="295" w:name="Tc_H9ehCUrDyEy4HSvB3Aqrag_1_2"/>
      <w:bookmarkStart w:id="296" w:name="_76b6209e_1dc3_4fea_95a5_afefe8c067d0"/>
      <w:bookmarkStart w:id="297" w:name="_d990e8e8_70e4_424c_89c6_9ce37fb4f34b"/>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tbl>
      <w:tblPr>
        <w:tblW w:w="10205" w:type="dxa"/>
        <w:jc w:val="left"/>
        <w:tblInd w:w="0" w:type="dxa"/>
        <w:tblLayout w:type="fixed"/>
        <w:tblCellMar>
          <w:top w:w="0" w:type="dxa"/>
          <w:left w:w="0" w:type="dxa"/>
          <w:bottom w:w="0" w:type="dxa"/>
          <w:right w:w="0" w:type="dxa"/>
        </w:tblCellMar>
      </w:tblPr>
      <w:tblGrid>
        <w:gridCol w:w="3578"/>
        <w:gridCol w:w="346"/>
        <w:gridCol w:w="226"/>
        <w:gridCol w:w="1119"/>
        <w:gridCol w:w="346"/>
        <w:gridCol w:w="211"/>
        <w:gridCol w:w="1041"/>
        <w:gridCol w:w="346"/>
        <w:gridCol w:w="211"/>
        <w:gridCol w:w="1119"/>
        <w:gridCol w:w="346"/>
        <w:gridCol w:w="226"/>
        <w:gridCol w:w="1090"/>
      </w:tblGrid>
      <w:tr>
        <w:trPr/>
        <w:tc>
          <w:tcPr>
            <w:tcW w:w="3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272030" cy="175260"/>
                      <wp:effectExtent l="0" t="0" r="0" b="0"/>
                      <wp:wrapNone/>
                      <wp:docPr id="8" name="Frame8"/>
                      <a:graphic xmlns:a="http://schemas.openxmlformats.org/drawingml/2006/main">
                        <a:graphicData uri="http://schemas.microsoft.com/office/word/2010/wordprocessingShape">
                          <wps:wsp>
                            <wps:cNvSpPr txBox="1"/>
                            <wps:spPr>
                              <a:xfrm>
                                <a:off x="0" y="0"/>
                                <a:ext cx="2272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3510" cy="175260"/>
                      <wp:effectExtent l="0" t="0" r="0" b="0"/>
                      <wp:wrapNone/>
                      <wp:docPr id="10" name="Frame1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10565" cy="175260"/>
                      <wp:effectExtent l="0" t="0" r="0" b="0"/>
                      <wp:wrapNone/>
                      <wp:docPr id="11" name="Frame11"/>
                      <a:graphic xmlns:a="http://schemas.openxmlformats.org/drawingml/2006/main">
                        <a:graphicData uri="http://schemas.microsoft.com/office/word/2010/wordprocessingShape">
                          <wps:wsp>
                            <wps:cNvSpPr txBox="1"/>
                            <wps:spPr>
                              <a:xfrm>
                                <a:off x="0" y="0"/>
                                <a:ext cx="710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1035" cy="175260"/>
                      <wp:effectExtent l="0" t="0" r="0" b="0"/>
                      <wp:wrapNone/>
                      <wp:docPr id="14" name="Frame14"/>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10565" cy="175260"/>
                      <wp:effectExtent l="0" t="0" r="0" b="0"/>
                      <wp:wrapNone/>
                      <wp:docPr id="17" name="Frame17"/>
                      <a:graphic xmlns:a="http://schemas.openxmlformats.org/drawingml/2006/main">
                        <a:graphicData uri="http://schemas.microsoft.com/office/word/2010/wordprocessingShape">
                          <wps:wsp>
                            <wps:cNvSpPr txBox="1"/>
                            <wps:spPr>
                              <a:xfrm>
                                <a:off x="0" y="0"/>
                                <a:ext cx="710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43510" cy="175260"/>
                      <wp:effectExtent l="0" t="0" r="0" b="0"/>
                      <wp:wrapNone/>
                      <wp:docPr id="19" name="Frame1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2150" cy="175260"/>
                      <wp:effectExtent l="0" t="0" r="0" b="0"/>
                      <wp:wrapNone/>
                      <wp:docPr id="20" name="Frame20"/>
                      <a:graphic xmlns:a="http://schemas.openxmlformats.org/drawingml/2006/main">
                        <a:graphicData uri="http://schemas.microsoft.com/office/word/2010/wordprocessingShape">
                          <wps:wsp>
                            <wps:cNvSpPr txBox="1"/>
                            <wps:spPr>
                              <a:xfrm>
                                <a:off x="0" y="0"/>
                                <a:ext cx="692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 ​ ​</w:t>
            </w:r>
          </w:p>
        </w:tc>
        <w:tc>
          <w:tcPr>
            <w:tcW w:w="13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w:t>
            </w:r>
          </w:p>
        </w:tc>
        <w:tc>
          <w:tcPr>
            <w:tcW w:w="346" w:type="dxa"/>
            <w:tcBorders/>
            <w:vAlign w:val="center"/>
          </w:tcPr>
          <w:p>
            <w:pPr>
              <w:pStyle w:val="TableContents"/>
              <w:bidi w:val="0"/>
              <w:spacing w:before="0" w:after="1"/>
              <w:ind w:left="0" w:right="0" w:hanging="0"/>
              <w:jc w:val="center"/>
              <w:rPr/>
            </w:pPr>
            <w:r>
              <w:rPr/>
              <w:t>  ​ ​ ​</w:t>
            </w:r>
          </w:p>
        </w:tc>
        <w:tc>
          <w:tcPr>
            <w:tcW w:w="12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w:t>
            </w:r>
          </w:p>
        </w:tc>
        <w:tc>
          <w:tcPr>
            <w:tcW w:w="346" w:type="dxa"/>
            <w:tcBorders/>
            <w:vAlign w:val="center"/>
          </w:tcPr>
          <w:p>
            <w:pPr>
              <w:pStyle w:val="TableContents"/>
              <w:bidi w:val="0"/>
              <w:spacing w:before="0" w:after="1"/>
              <w:ind w:left="0" w:right="0" w:hanging="0"/>
              <w:jc w:val="center"/>
              <w:rPr/>
            </w:pPr>
            <w:r>
              <w:rPr/>
              <w:t>  ​ ​ ​</w:t>
            </w:r>
          </w:p>
        </w:tc>
        <w:tc>
          <w:tcPr>
            <w:tcW w:w="13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w:t>
            </w:r>
          </w:p>
        </w:tc>
        <w:tc>
          <w:tcPr>
            <w:tcW w:w="346" w:type="dxa"/>
            <w:tcBorders/>
            <w:vAlign w:val="center"/>
          </w:tcPr>
          <w:p>
            <w:pPr>
              <w:pStyle w:val="TableContents"/>
              <w:bidi w:val="0"/>
              <w:spacing w:before="0" w:after="1"/>
              <w:ind w:left="0" w:right="0" w:hanging="0"/>
              <w:jc w:val="right"/>
              <w:rPr/>
            </w:pPr>
            <w:r>
              <w:rPr/>
              <w:t>  ​ ​ ​</w:t>
            </w:r>
          </w:p>
        </w:tc>
        <w:tc>
          <w:tcPr>
            <w:tcW w:w="13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w:t>
            </w:r>
          </w:p>
        </w:tc>
      </w:tr>
      <w:tr>
        <w:trPr/>
        <w:tc>
          <w:tcPr>
            <w:tcW w:w="35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3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46" w:type="dxa"/>
            <w:tcBorders/>
            <w:vAlign w:val="center"/>
          </w:tcPr>
          <w:p>
            <w:pPr>
              <w:pStyle w:val="TableContents"/>
              <w:bidi w:val="0"/>
              <w:spacing w:before="0" w:after="1"/>
              <w:ind w:left="0" w:right="0" w:hanging="0"/>
              <w:jc w:val="center"/>
              <w:rPr/>
            </w:pPr>
            <w:r>
              <w:rPr/>
              <w:t>​</w:t>
            </w:r>
          </w:p>
        </w:tc>
        <w:tc>
          <w:tcPr>
            <w:tcW w:w="12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46" w:type="dxa"/>
            <w:tcBorders/>
            <w:vAlign w:val="center"/>
          </w:tcPr>
          <w:p>
            <w:pPr>
              <w:pStyle w:val="TableContents"/>
              <w:bidi w:val="0"/>
              <w:spacing w:before="0" w:after="1"/>
              <w:ind w:left="0" w:right="0" w:hanging="0"/>
              <w:jc w:val="center"/>
              <w:rPr/>
            </w:pPr>
            <w:r>
              <w:rPr/>
              <w:t>​</w:t>
            </w:r>
          </w:p>
        </w:tc>
        <w:tc>
          <w:tcPr>
            <w:tcW w:w="13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46" w:type="dxa"/>
            <w:tcBorders/>
            <w:vAlign w:val="center"/>
          </w:tcPr>
          <w:p>
            <w:pPr>
              <w:pStyle w:val="TableContents"/>
              <w:bidi w:val="0"/>
              <w:spacing w:before="0" w:after="1"/>
              <w:ind w:left="0" w:right="0" w:hanging="0"/>
              <w:jc w:val="right"/>
              <w:rPr/>
            </w:pPr>
            <w:r>
              <w:rPr/>
              <w:t>  ​ ​ ​</w:t>
            </w:r>
          </w:p>
        </w:tc>
        <w:tc>
          <w:tcPr>
            <w:tcW w:w="13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r>
      <w:tr>
        <w:trPr/>
        <w:tc>
          <w:tcPr>
            <w:tcW w:w="35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3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46" w:type="dxa"/>
            <w:tcBorders/>
            <w:vAlign w:val="center"/>
          </w:tcPr>
          <w:p>
            <w:pPr>
              <w:pStyle w:val="TableContents"/>
              <w:bidi w:val="0"/>
              <w:spacing w:before="0" w:after="1"/>
              <w:ind w:left="0" w:right="0" w:hanging="0"/>
              <w:jc w:val="center"/>
              <w:rPr/>
            </w:pPr>
            <w:r>
              <w:rPr/>
              <w:t>​</w:t>
            </w:r>
          </w:p>
        </w:tc>
        <w:tc>
          <w:tcPr>
            <w:tcW w:w="12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May 31, 2025</w:t>
            </w:r>
          </w:p>
        </w:tc>
        <w:tc>
          <w:tcPr>
            <w:tcW w:w="346" w:type="dxa"/>
            <w:tcBorders/>
            <w:vAlign w:val="center"/>
          </w:tcPr>
          <w:p>
            <w:pPr>
              <w:pStyle w:val="TableContents"/>
              <w:bidi w:val="0"/>
              <w:spacing w:before="0" w:after="1"/>
              <w:ind w:left="0" w:right="0" w:hanging="0"/>
              <w:jc w:val="center"/>
              <w:rPr/>
            </w:pPr>
            <w:r>
              <w:rPr/>
              <w:t>​</w:t>
            </w:r>
          </w:p>
        </w:tc>
        <w:tc>
          <w:tcPr>
            <w:tcW w:w="13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46" w:type="dxa"/>
            <w:tcBorders/>
            <w:vAlign w:val="center"/>
          </w:tcPr>
          <w:p>
            <w:pPr>
              <w:pStyle w:val="TableContents"/>
              <w:bidi w:val="0"/>
              <w:spacing w:before="0" w:after="1"/>
              <w:ind w:left="0" w:right="0" w:hanging="0"/>
              <w:jc w:val="right"/>
              <w:rPr/>
            </w:pPr>
            <w:r>
              <w:rPr/>
              <w:t>​</w:t>
            </w:r>
          </w:p>
        </w:tc>
        <w:tc>
          <w:tcPr>
            <w:tcW w:w="13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May 31, 2025</w:t>
            </w:r>
          </w:p>
        </w:tc>
      </w:tr>
      <w:tr>
        <w:trPr/>
        <w:tc>
          <w:tcPr>
            <w:tcW w:w="3578"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1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90" w:type="dxa"/>
            <w:tcBorders/>
            <w:shd w:fill="CCEEFF" w:val="clear"/>
            <w:vAlign w:val="center"/>
          </w:tcPr>
          <w:p>
            <w:pPr>
              <w:pStyle w:val="TableContents"/>
              <w:bidi w:val="0"/>
              <w:spacing w:before="0" w:after="1"/>
              <w:ind w:left="0" w:right="0" w:hanging="0"/>
              <w:jc w:val="right"/>
              <w:rPr/>
            </w:pPr>
            <w:r>
              <w:rPr/>
              <w:t>​</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Business development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267,827</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348,277</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vAlign w:val="center"/>
          </w:tcPr>
          <w:p>
            <w:pPr>
              <w:pStyle w:val="TableContents"/>
              <w:bidi w:val="0"/>
              <w:spacing w:before="0" w:after="1"/>
              <w:ind w:left="0" w:right="0" w:hanging="0"/>
              <w:jc w:val="right"/>
              <w:rPr/>
            </w:pPr>
            <w:r>
              <w:rPr/>
              <w:t>—</w:t>
            </w:r>
          </w:p>
        </w:tc>
      </w:tr>
      <w:tr>
        <w:trPr/>
        <w:tc>
          <w:tcPr>
            <w:tcW w:w="35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and depreciation</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5,602</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90" w:type="dxa"/>
            <w:tcBorders/>
            <w:shd w:fill="CCEEFF" w:val="clear"/>
            <w:vAlign w:val="center"/>
          </w:tcPr>
          <w:p>
            <w:pPr>
              <w:pStyle w:val="TableContents"/>
              <w:bidi w:val="0"/>
              <w:spacing w:before="0" w:after="1"/>
              <w:ind w:left="0" w:right="0" w:hanging="0"/>
              <w:jc w:val="right"/>
              <w:rPr/>
            </w:pPr>
            <w:r>
              <w:rPr/>
              <w:t>—</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Exploration expense</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496,419</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0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56,678</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723,920</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63,983</w:t>
            </w:r>
          </w:p>
        </w:tc>
      </w:tr>
      <w:tr>
        <w:trPr/>
        <w:tc>
          <w:tcPr>
            <w:tcW w:w="35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Office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831,489</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60,539</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1,238,685</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91,580</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2,010,841</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0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710,540</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2,469,761</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1,213,453</w:t>
            </w:r>
          </w:p>
        </w:tc>
      </w:tr>
      <w:tr>
        <w:trPr/>
        <w:tc>
          <w:tcPr>
            <w:tcW w:w="35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80,856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22,483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153,598</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48,943</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Investor relations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69,390</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0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159,211</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90" w:type="dxa"/>
            <w:tcBorders/>
            <w:vAlign w:val="center"/>
          </w:tcPr>
          <w:p>
            <w:pPr>
              <w:pStyle w:val="TableContents"/>
              <w:bidi w:val="0"/>
              <w:spacing w:before="0" w:after="1"/>
              <w:ind w:left="0" w:right="0" w:hanging="0"/>
              <w:jc w:val="right"/>
              <w:rPr/>
            </w:pPr>
            <w:r>
              <w:rPr/>
              <w:t>—</w:t>
            </w:r>
          </w:p>
        </w:tc>
      </w:tr>
      <w:tr>
        <w:trPr/>
        <w:tc>
          <w:tcPr>
            <w:tcW w:w="35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Salaries and wages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3,295,905</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3,353,846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90" w:type="dxa"/>
            <w:tcBorders/>
            <w:shd w:fill="CCEEFF" w:val="clear"/>
            <w:vAlign w:val="center"/>
          </w:tcPr>
          <w:p>
            <w:pPr>
              <w:pStyle w:val="TableContents"/>
              <w:bidi w:val="0"/>
              <w:spacing w:before="0" w:after="1"/>
              <w:ind w:left="0" w:right="0" w:hanging="0"/>
              <w:jc w:val="right"/>
              <w:rPr/>
            </w:pPr>
            <w:r>
              <w:rPr/>
              <w:t>—</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Licensing fee expense</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12,603</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0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26,249</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90" w:type="dxa"/>
            <w:tcBorders/>
            <w:vAlign w:val="center"/>
          </w:tcPr>
          <w:p>
            <w:pPr>
              <w:pStyle w:val="TableContents"/>
              <w:bidi w:val="0"/>
              <w:spacing w:before="0" w:after="1"/>
              <w:ind w:left="0" w:right="0" w:hanging="0"/>
              <w:jc w:val="right"/>
              <w:rPr/>
            </w:pPr>
            <w:r>
              <w:rPr/>
              <w:t>—</w:t>
            </w:r>
          </w:p>
        </w:tc>
      </w:tr>
      <w:tr>
        <w:trPr/>
        <w:tc>
          <w:tcPr>
            <w:tcW w:w="35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Travel and entertainment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236,509</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170,706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287,971</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269,552</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(7,307,441)</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(1,020,946)</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(8,769,544)</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(1,687,511)</w:t>
            </w:r>
          </w:p>
        </w:tc>
      </w:tr>
      <w:tr>
        <w:trPr/>
        <w:tc>
          <w:tcPr>
            <w:tcW w:w="357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90" w:type="dxa"/>
            <w:tcBorders/>
            <w:shd w:fill="CCEEFF" w:val="clear"/>
            <w:vAlign w:val="center"/>
          </w:tcPr>
          <w:p>
            <w:pPr>
              <w:pStyle w:val="TableContents"/>
              <w:bidi w:val="0"/>
              <w:spacing w:before="0" w:after="1"/>
              <w:ind w:left="0" w:right="0" w:hanging="0"/>
              <w:jc w:val="left"/>
              <w:rPr/>
            </w:pPr>
            <w:r>
              <w:rPr/>
              <w:t>​</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11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0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1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90" w:type="dxa"/>
            <w:tcBorders/>
            <w:vAlign w:val="center"/>
          </w:tcPr>
          <w:p>
            <w:pPr>
              <w:pStyle w:val="TableContents"/>
              <w:bidi w:val="0"/>
              <w:spacing w:before="0" w:after="1"/>
              <w:ind w:left="0" w:right="0" w:hanging="0"/>
              <w:jc w:val="right"/>
              <w:rPr/>
            </w:pPr>
            <w:r>
              <w:rPr/>
              <w:t>  ​</w:t>
            </w:r>
          </w:p>
        </w:tc>
      </w:tr>
      <w:tr>
        <w:trPr/>
        <w:tc>
          <w:tcPr>
            <w:tcW w:w="35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(17,750,724)</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(17,750,724)</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90" w:type="dxa"/>
            <w:tcBorders/>
            <w:shd w:fill="CCEEFF" w:val="clear"/>
            <w:vAlign w:val="center"/>
          </w:tcPr>
          <w:p>
            <w:pPr>
              <w:pStyle w:val="TableContents"/>
              <w:bidi w:val="0"/>
              <w:spacing w:before="0" w:after="1"/>
              <w:ind w:left="0" w:right="0" w:hanging="0"/>
              <w:jc w:val="right"/>
              <w:rPr/>
            </w:pPr>
            <w:r>
              <w:rPr/>
              <w:t>—</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0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90" w:type="dxa"/>
            <w:tcBorders/>
            <w:vAlign w:val="center"/>
          </w:tcPr>
          <w:p>
            <w:pPr>
              <w:pStyle w:val="TableContents"/>
              <w:bidi w:val="0"/>
              <w:spacing w:before="0" w:after="1"/>
              <w:ind w:left="0" w:right="0" w:hanging="0"/>
              <w:jc w:val="right"/>
              <w:rPr/>
            </w:pPr>
            <w:r>
              <w:rPr/>
              <w:t>—</w:t>
            </w:r>
          </w:p>
        </w:tc>
      </w:tr>
      <w:tr>
        <w:trPr/>
        <w:tc>
          <w:tcPr>
            <w:tcW w:w="35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foreign currency transactions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(13,592)</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(4,590)</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other expense</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(17,754,506)</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(4,160)</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(17,764,285)</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(4,590)</w:t>
            </w:r>
          </w:p>
        </w:tc>
      </w:tr>
      <w:tr>
        <w:trPr/>
        <w:tc>
          <w:tcPr>
            <w:tcW w:w="357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90" w:type="dxa"/>
            <w:tcBorders/>
            <w:shd w:fill="CCEEFF" w:val="clear"/>
            <w:vAlign w:val="center"/>
          </w:tcPr>
          <w:p>
            <w:pPr>
              <w:pStyle w:val="TableContents"/>
              <w:bidi w:val="0"/>
              <w:spacing w:before="0" w:after="1"/>
              <w:ind w:left="0" w:right="0" w:hanging="0"/>
              <w:jc w:val="right"/>
              <w:rPr/>
            </w:pPr>
            <w:r>
              <w:rPr/>
              <w:t>​</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(25,061,947)</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(1,025,106)</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(26,533,829)</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(1,692,101)</w:t>
            </w:r>
          </w:p>
        </w:tc>
      </w:tr>
      <w:tr>
        <w:trPr/>
        <w:tc>
          <w:tcPr>
            <w:tcW w:w="357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90" w:type="dxa"/>
            <w:tcBorders/>
            <w:shd w:fill="CCEEFF" w:val="clear"/>
            <w:vAlign w:val="center"/>
          </w:tcPr>
          <w:p>
            <w:pPr>
              <w:pStyle w:val="TableContents"/>
              <w:bidi w:val="0"/>
              <w:spacing w:before="0" w:after="1"/>
              <w:ind w:left="0" w:right="0" w:hanging="0"/>
              <w:jc w:val="right"/>
              <w:rPr/>
            </w:pPr>
            <w:r>
              <w:rPr/>
              <w:t>​</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dividends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(748,603)</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(781,151)</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57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90" w:type="dxa"/>
            <w:tcBorders/>
            <w:shd w:fill="CCEEFF" w:val="clear"/>
            <w:vAlign w:val="center"/>
          </w:tcPr>
          <w:p>
            <w:pPr>
              <w:pStyle w:val="TableContents"/>
              <w:bidi w:val="0"/>
              <w:spacing w:before="0" w:after="1"/>
              <w:ind w:left="0" w:right="0" w:hanging="0"/>
              <w:jc w:val="right"/>
              <w:rPr/>
            </w:pPr>
            <w:r>
              <w:rPr/>
              <w:t>​</w:t>
            </w:r>
          </w:p>
        </w:tc>
      </w:tr>
      <w:tr>
        <w:trPr/>
        <w:tc>
          <w:tcPr>
            <w:tcW w:w="3578"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attributable to common stockholders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(25,810,550)</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(1,025,106)</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(27,314,980)</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(1,692,101)</w:t>
            </w:r>
          </w:p>
        </w:tc>
      </w:tr>
      <w:tr>
        <w:trPr/>
        <w:tc>
          <w:tcPr>
            <w:tcW w:w="357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90" w:type="dxa"/>
            <w:tcBorders/>
            <w:shd w:fill="CCEEFF" w:val="clear"/>
            <w:vAlign w:val="center"/>
          </w:tcPr>
          <w:p>
            <w:pPr>
              <w:pStyle w:val="TableContents"/>
              <w:bidi w:val="0"/>
              <w:spacing w:before="0" w:after="1"/>
              <w:ind w:left="0" w:right="0" w:hanging="0"/>
              <w:jc w:val="right"/>
              <w:rPr/>
            </w:pPr>
            <w:r>
              <w:rPr/>
              <w:t>​</w:t>
            </w:r>
          </w:p>
        </w:tc>
      </w:tr>
      <w:tr>
        <w:trPr/>
        <w:tc>
          <w:tcPr>
            <w:tcW w:w="3578"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Weighted average number of shares outstanding, common stock – Basic and diluted</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29,657,841</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17,717,143</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24,567,206</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17,252,802</w:t>
            </w:r>
          </w:p>
        </w:tc>
      </w:tr>
      <w:tr>
        <w:trPr/>
        <w:tc>
          <w:tcPr>
            <w:tcW w:w="357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1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90" w:type="dxa"/>
            <w:tcBorders/>
            <w:shd w:fill="CCEEFF" w:val="clear"/>
            <w:vAlign w:val="center"/>
          </w:tcPr>
          <w:p>
            <w:pPr>
              <w:pStyle w:val="TableContents"/>
              <w:bidi w:val="0"/>
              <w:spacing w:before="0" w:after="1"/>
              <w:ind w:left="0" w:right="0" w:hanging="0"/>
              <w:jc w:val="right"/>
              <w:rPr/>
            </w:pPr>
            <w:r>
              <w:rPr/>
              <w:t>​</w:t>
            </w:r>
          </w:p>
        </w:tc>
      </w:tr>
      <w:tr>
        <w:trPr/>
        <w:tc>
          <w:tcPr>
            <w:tcW w:w="3578"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Loss per share, common stock – Basic and diluted</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(0.87)</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(0.10)</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shares of the Company’s common stock, prior to the de-SPAC (as defined in Note 1) have been retroactively restated to reflect the exchange ratio of approximately 5.8349:1 established in the de-SPAC, as described in Note 4.</w:t>
            </w:r>
          </w:p>
        </w:tc>
      </w:tr>
    </w:tbl>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interim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98" w:name="_1e2ae94a_513c_46f1_9ce1_cb0993df0cc2"/>
      <w:bookmarkEnd w:id="298"/>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bookmarkStart w:id="299" w:name="equitysixmonthended"/>
      <w:bookmarkEnd w:id="299"/>
      <w:r>
        <w:rPr>
          <w:rFonts w:ascii="Times New Roman;Times;serif" w:hAnsi="Times New Roman;Times;serif"/>
          <w:b/>
          <w:sz w:val="20"/>
        </w:rPr>
        <w:t>CONDENSED CONSOLIDATED INTERIM STATEMENTS OF CHANGES IN STOCKHOLDERS’ EQUITY (DEFICIT)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SIX MONTHS ENDED MAY 31, 2026 AND 2025 (UNAUDITED)</w:t>
      </w:r>
    </w:p>
    <w:p>
      <w:pPr>
        <w:pStyle w:val="Normal"/>
        <w:bidi w:val="0"/>
        <w:spacing w:before="0" w:after="0"/>
        <w:jc w:val="left"/>
        <w:rPr>
          <w:sz w:val="4"/>
          <w:szCs w:val="4"/>
        </w:rPr>
      </w:pPr>
      <w:r>
        <w:rPr>
          <w:sz w:val="4"/>
          <w:szCs w:val="4"/>
        </w:rPr>
      </w:r>
      <w:bookmarkStart w:id="300" w:name="Tc_immvXZ468UaEVpMM6zmLMQ_22_16"/>
      <w:bookmarkStart w:id="301" w:name="Tc_FSG2qEkw10myDgbGpFmbIw_22_13"/>
      <w:bookmarkStart w:id="302" w:name="Tc_auABudBRfkeyVAwShR6G7A_22_11"/>
      <w:bookmarkStart w:id="303" w:name="Tc_zX8S4jCYdk6CArNAJUYOdg_22_10"/>
      <w:bookmarkStart w:id="304" w:name="Tc_0tGmMako5k2c9r1iL5U20w_22_7"/>
      <w:bookmarkStart w:id="305" w:name="Tc_JmGX6V4SYUuGnVjw3eIFfg_22_4"/>
      <w:bookmarkStart w:id="306" w:name="Tc_vCNXIv4kCUCmpUaK1Y3mcQ_22_0"/>
      <w:bookmarkStart w:id="307" w:name="Tc__UaqtW22Y0m5Z-RP434rBQ_21_11"/>
      <w:bookmarkStart w:id="308" w:name="Tc_OKd3Jy2Wj0mc-Ggt3nGFfQ_21_8"/>
      <w:bookmarkStart w:id="309" w:name="Tc_BscvWoiOT0-Cp81FkBur5w_21_5"/>
      <w:bookmarkStart w:id="310" w:name="Tc_kp4B0vsi2kWF3EY-w4iVCQ_21_2"/>
      <w:bookmarkStart w:id="311" w:name="Tc_ojDS2hjOn0uSkhmXJHf3hg_21_0"/>
      <w:bookmarkStart w:id="312" w:name="Tc_9VMjW8_e1UeFfmYZWxzgiQ_20_14"/>
      <w:bookmarkStart w:id="313" w:name="Tc_Ee6wU-IYAUG3KRuKUIR5Ww_20_11"/>
      <w:bookmarkStart w:id="314" w:name="Tc_niM5dut5skenPgRoz20c3w_20_5"/>
      <w:bookmarkStart w:id="315" w:name="Tc_6UOnWsjez0q1Nercr8WbHw_20_2"/>
      <w:bookmarkStart w:id="316" w:name="Tc_IMAzLLiC40GHXQwilRTNhQ_20_0"/>
      <w:bookmarkStart w:id="317" w:name="Tc_9hTfBvNIQEGEQrsSo1MXPg_19_14"/>
      <w:bookmarkStart w:id="318" w:name="Tc_7lFIwjWp1Ua3sQN1lOqPvg_19_11"/>
      <w:bookmarkStart w:id="319" w:name="Tc_KBt-inMCOU6ysQFjbO7wLg_19_5"/>
      <w:bookmarkStart w:id="320" w:name="Tc_WM_YpqSruki4AjSoKvEAJQ_19_2"/>
      <w:bookmarkStart w:id="321" w:name="Tc_43XQdLPbGUGs4z9JQRcISQ_19_0"/>
      <w:bookmarkStart w:id="322" w:name="Tc_QeKM-shU6kmKOYhES_xWow_18_14"/>
      <w:bookmarkStart w:id="323" w:name="Tc_z8XUyd80rUafUvPrwNDJBw_18_11"/>
      <w:bookmarkStart w:id="324" w:name="Tc_eb8rGU2YXkWjbds0y--OuA_18_5"/>
      <w:bookmarkStart w:id="325" w:name="Tc_6k1E5fjShEiDIrqSKRcuAA_18_0"/>
      <w:bookmarkStart w:id="326" w:name="Tc_urgsuIHt90GBEwfTcd9-mg_17_17"/>
      <w:bookmarkStart w:id="327" w:name="Tc_dmvPXLLGrkGUcZd79eujhA_17_14"/>
      <w:bookmarkStart w:id="328" w:name="Tc_KGSDhOGTk0WGuaDkMLIa7w_17_11"/>
      <w:bookmarkStart w:id="329" w:name="Tc_HW2CPDZnN0qegbtEu13Mow_17_8"/>
      <w:bookmarkStart w:id="330" w:name="Tc_fxbrOq2o6kO7RRe5MuHKxA_17_5"/>
      <w:bookmarkStart w:id="331" w:name="Tc_dOnnfYGLHUalP3W-JnxH3g_17_0"/>
      <w:bookmarkStart w:id="332" w:name="Tc_RbHQUuDyvE62Ab6ay8mzGA_16_14"/>
      <w:bookmarkStart w:id="333" w:name="Tc_vNPoJhke6k2hbpsK_-FgBw_16_11"/>
      <w:bookmarkStart w:id="334" w:name="Tc_AADNCo1nDkiEBxRU2bynlw_16_5"/>
      <w:bookmarkStart w:id="335" w:name="Tc_xf5dvyoHHE2qENlj9XvA7Q_16_2"/>
      <w:bookmarkStart w:id="336" w:name="Tc_mM5bMKAchkmEVKsc6YCjcw_16_0"/>
      <w:bookmarkStart w:id="337" w:name="Tc_U9yTBysJU0eUL5XtwWZVYg_15_14"/>
      <w:bookmarkStart w:id="338" w:name="Tc_GUAovmQEQEWrx_cf7hZwjA_15_11"/>
      <w:bookmarkStart w:id="339" w:name="Tc_Bzugh3acfUOYzedRvTaImQ_15_0"/>
      <w:bookmarkStart w:id="340" w:name="Tc_16I5s3HBXUWIx9JwmT5peQ_14_14"/>
      <w:bookmarkStart w:id="341" w:name="Tc_VaBgtLrUNk60WXZFlz9jrA_14_11"/>
      <w:bookmarkStart w:id="342" w:name="Tc_Ivy9p-yk4US_fHe0wAwadg_14_0"/>
      <w:bookmarkStart w:id="343" w:name="Tc_9TQVwodZq0q8WxwqmRZcaQ_13_14"/>
      <w:bookmarkStart w:id="344" w:name="Tc_BenMm5-Q7kutae60aTFvew_13_11"/>
      <w:bookmarkStart w:id="345" w:name="Tc_SImr7GS38UGhQxh4zmF-3g_13_0"/>
      <w:bookmarkStart w:id="346" w:name="Tc_GU-jQh3KJUiCGWBv5ZoLEw_12_16"/>
      <w:bookmarkStart w:id="347" w:name="Tc_ugmE33ZyWEmu3hewo1O0nQ_12_13"/>
      <w:bookmarkStart w:id="348" w:name="Tc_0x7H2UPfYUuDDwRkdk6oIg_12_11"/>
      <w:bookmarkStart w:id="349" w:name="Tc_n2SN5M7iwEeNi32qrzAKhw_12_10"/>
      <w:bookmarkStart w:id="350" w:name="Tc_UAQavnVkq0q_UKuNTFJ1wQ_12_7"/>
      <w:bookmarkStart w:id="351" w:name="Tc_iPOB9u8vFUOoewwJ-AEjEQ_12_4"/>
      <w:bookmarkStart w:id="352" w:name="Tc_ZU_0j8CAEE6o9B__3ZcHYA_12_0"/>
      <w:bookmarkStart w:id="353" w:name="Tc_6rngn0b5e06dEq2UtKIzZA_9_16"/>
      <w:bookmarkStart w:id="354" w:name="Tc_qRlDRXNWH0WzHnsNFCk0GA_9_13"/>
      <w:bookmarkStart w:id="355" w:name="Tc_ENxpekDFPES9NYt1An_QhA_9_10"/>
      <w:bookmarkStart w:id="356" w:name="Tc_HWYQa8hxWE2uzSOxcQxVig_9_7"/>
      <w:bookmarkStart w:id="357" w:name="Tc_R6RrQkcQ-0-uaEsWd78wUA_9_4"/>
      <w:bookmarkStart w:id="358" w:name="Tc_hvwQXiYksEijJHjjxCfWRg_9_0"/>
      <w:bookmarkStart w:id="359" w:name="Tc_VnDHr0dtm06zSzEUb3QrbQ_8_11"/>
      <w:bookmarkStart w:id="360" w:name="Tc_XL4PV86qY06GAsvEt22rzQ_8_8"/>
      <w:bookmarkStart w:id="361" w:name="Tc_sGJbZzAfhUGT1RuDTXSS4w_8_5"/>
      <w:bookmarkStart w:id="362" w:name="Tc_997crFKrJkaAAiJTee5LKg_8_2"/>
      <w:bookmarkStart w:id="363" w:name="Tc_PLUw1pQ5wkWV1CT4ARa-QQ_8_0"/>
      <w:bookmarkStart w:id="364" w:name="Tc_9iXiQOUOWEOVpqzPoU1wLA_7_14"/>
      <w:bookmarkStart w:id="365" w:name="Tc_WmEGvhVQpkW36zE4WYH3Zw_7_11"/>
      <w:bookmarkStart w:id="366" w:name="Tc_WC-n1DSQukiFcd9SOmTo8w_7_0"/>
      <w:bookmarkStart w:id="367" w:name="Tc_vTAxBgRLT0Kwdg_wmiTCbA_6_14"/>
      <w:bookmarkStart w:id="368" w:name="Tc_oF5yPOxI8Em-8zK4D5aImA_6_0"/>
      <w:bookmarkStart w:id="369" w:name="Tc_iPSf3HTvE0yoAoEBUjLUVw_5_14"/>
      <w:bookmarkStart w:id="370" w:name="Tc_oUk2GVVLSUCXpThONtkWgw_5_0"/>
      <w:bookmarkStart w:id="371" w:name="Tc_6cKOTdzo9EWwUx_xgM7-ag_4_16"/>
      <w:bookmarkStart w:id="372" w:name="Tc_zkLRjxtbMUarHO5CUaJEDw_4_13"/>
      <w:bookmarkStart w:id="373" w:name="Tc_5yTgj-5jC0yMqJI0uw2ABA_4_10"/>
      <w:bookmarkStart w:id="374" w:name="Tc_Cmo7WvGc7Eqwh05wOT8jOQ_4_7"/>
      <w:bookmarkStart w:id="375" w:name="Tc_z7j-1X3iBUKEOI6gGWqxig_4_4"/>
      <w:bookmarkStart w:id="376" w:name="Tc_TU-ieVKOwUS7okb4km9KCg_4_0"/>
      <w:bookmarkStart w:id="377" w:name="Tc_fo4RCdG5Vk2iehCAMiGXKQ_3_16"/>
      <w:bookmarkStart w:id="378" w:name="Tc_T50vRrGKSE65qqdO0chjbA_3_13"/>
      <w:bookmarkStart w:id="379" w:name="Tc_GYPP8JcUBUGUPLXG5xn13A_3_10"/>
      <w:bookmarkStart w:id="380" w:name="Tc_h5asbShvDki0MW1d9cStDg_3_7"/>
      <w:bookmarkStart w:id="381" w:name="Tc_xtAxfa0bv0a0qXx1A25SJg_3_4"/>
      <w:bookmarkStart w:id="382" w:name="Tc_cHebn_YgVE-TiGCqGHRC-A_3_2"/>
      <w:bookmarkStart w:id="383" w:name="Tc_vFIiU1LJok6RdghZ56sIxw_2_16"/>
      <w:bookmarkStart w:id="384" w:name="Tc_F7tdK9vVa0e0GiHQc3ef8Q_2_13"/>
      <w:bookmarkStart w:id="385" w:name="Tc_OTotezECcUq7Jb4CkzIswg_2_10"/>
      <w:bookmarkStart w:id="386" w:name="Tc_LHlbpk_G_0i-9jYrcJbD9w_2_7"/>
      <w:bookmarkStart w:id="387" w:name="Tc_5p1ggvhGGkSf9RZBrZCHUg_2_2"/>
      <w:bookmarkStart w:id="388" w:name="Tc_CZ8dKvhQ70O3PAEPhfqFVA_1_16"/>
      <w:bookmarkStart w:id="389" w:name="Tc_UwkkjCCWz06-g65hrdwBqQ_1_2"/>
      <w:bookmarkStart w:id="390" w:name="_a41c272b_3f68_440c_84a3_ed28a5e66738"/>
      <w:bookmarkStart w:id="391" w:name="Tc_immvXZ468UaEVpMM6zmLMQ_22_16"/>
      <w:bookmarkStart w:id="392" w:name="Tc_FSG2qEkw10myDgbGpFmbIw_22_13"/>
      <w:bookmarkStart w:id="393" w:name="Tc_auABudBRfkeyVAwShR6G7A_22_11"/>
      <w:bookmarkStart w:id="394" w:name="Tc_zX8S4jCYdk6CArNAJUYOdg_22_10"/>
      <w:bookmarkStart w:id="395" w:name="Tc_0tGmMako5k2c9r1iL5U20w_22_7"/>
      <w:bookmarkStart w:id="396" w:name="Tc_JmGX6V4SYUuGnVjw3eIFfg_22_4"/>
      <w:bookmarkStart w:id="397" w:name="Tc_vCNXIv4kCUCmpUaK1Y3mcQ_22_0"/>
      <w:bookmarkStart w:id="398" w:name="Tc__UaqtW22Y0m5Z-RP434rBQ_21_11"/>
      <w:bookmarkStart w:id="399" w:name="Tc_OKd3Jy2Wj0mc-Ggt3nGFfQ_21_8"/>
      <w:bookmarkStart w:id="400" w:name="Tc_BscvWoiOT0-Cp81FkBur5w_21_5"/>
      <w:bookmarkStart w:id="401" w:name="Tc_kp4B0vsi2kWF3EY-w4iVCQ_21_2"/>
      <w:bookmarkStart w:id="402" w:name="Tc_ojDS2hjOn0uSkhmXJHf3hg_21_0"/>
      <w:bookmarkStart w:id="403" w:name="Tc_9VMjW8_e1UeFfmYZWxzgiQ_20_14"/>
      <w:bookmarkStart w:id="404" w:name="Tc_Ee6wU-IYAUG3KRuKUIR5Ww_20_11"/>
      <w:bookmarkStart w:id="405" w:name="Tc_niM5dut5skenPgRoz20c3w_20_5"/>
      <w:bookmarkStart w:id="406" w:name="Tc_6UOnWsjez0q1Nercr8WbHw_20_2"/>
      <w:bookmarkStart w:id="407" w:name="Tc_IMAzLLiC40GHXQwilRTNhQ_20_0"/>
      <w:bookmarkStart w:id="408" w:name="Tc_9hTfBvNIQEGEQrsSo1MXPg_19_14"/>
      <w:bookmarkStart w:id="409" w:name="Tc_7lFIwjWp1Ua3sQN1lOqPvg_19_11"/>
      <w:bookmarkStart w:id="410" w:name="Tc_KBt-inMCOU6ysQFjbO7wLg_19_5"/>
      <w:bookmarkStart w:id="411" w:name="Tc_WM_YpqSruki4AjSoKvEAJQ_19_2"/>
      <w:bookmarkStart w:id="412" w:name="Tc_43XQdLPbGUGs4z9JQRcISQ_19_0"/>
      <w:bookmarkStart w:id="413" w:name="Tc_QeKM-shU6kmKOYhES_xWow_18_14"/>
      <w:bookmarkStart w:id="414" w:name="Tc_z8XUyd80rUafUvPrwNDJBw_18_11"/>
      <w:bookmarkStart w:id="415" w:name="Tc_eb8rGU2YXkWjbds0y--OuA_18_5"/>
      <w:bookmarkStart w:id="416" w:name="Tc_6k1E5fjShEiDIrqSKRcuAA_18_0"/>
      <w:bookmarkStart w:id="417" w:name="Tc_urgsuIHt90GBEwfTcd9-mg_17_17"/>
      <w:bookmarkStart w:id="418" w:name="Tc_dmvPXLLGrkGUcZd79eujhA_17_14"/>
      <w:bookmarkStart w:id="419" w:name="Tc_KGSDhOGTk0WGuaDkMLIa7w_17_11"/>
      <w:bookmarkStart w:id="420" w:name="Tc_HW2CPDZnN0qegbtEu13Mow_17_8"/>
      <w:bookmarkStart w:id="421" w:name="Tc_fxbrOq2o6kO7RRe5MuHKxA_17_5"/>
      <w:bookmarkStart w:id="422" w:name="Tc_dOnnfYGLHUalP3W-JnxH3g_17_0"/>
      <w:bookmarkStart w:id="423" w:name="Tc_RbHQUuDyvE62Ab6ay8mzGA_16_14"/>
      <w:bookmarkStart w:id="424" w:name="Tc_vNPoJhke6k2hbpsK_-FgBw_16_11"/>
      <w:bookmarkStart w:id="425" w:name="Tc_AADNCo1nDkiEBxRU2bynlw_16_5"/>
      <w:bookmarkStart w:id="426" w:name="Tc_xf5dvyoHHE2qENlj9XvA7Q_16_2"/>
      <w:bookmarkStart w:id="427" w:name="Tc_mM5bMKAchkmEVKsc6YCjcw_16_0"/>
      <w:bookmarkStart w:id="428" w:name="Tc_U9yTBysJU0eUL5XtwWZVYg_15_14"/>
      <w:bookmarkStart w:id="429" w:name="Tc_GUAovmQEQEWrx_cf7hZwjA_15_11"/>
      <w:bookmarkStart w:id="430" w:name="Tc_Bzugh3acfUOYzedRvTaImQ_15_0"/>
      <w:bookmarkStart w:id="431" w:name="Tc_16I5s3HBXUWIx9JwmT5peQ_14_14"/>
      <w:bookmarkStart w:id="432" w:name="Tc_VaBgtLrUNk60WXZFlz9jrA_14_11"/>
      <w:bookmarkStart w:id="433" w:name="Tc_Ivy9p-yk4US_fHe0wAwadg_14_0"/>
      <w:bookmarkStart w:id="434" w:name="Tc_9TQVwodZq0q8WxwqmRZcaQ_13_14"/>
      <w:bookmarkStart w:id="435" w:name="Tc_BenMm5-Q7kutae60aTFvew_13_11"/>
      <w:bookmarkStart w:id="436" w:name="Tc_SImr7GS38UGhQxh4zmF-3g_13_0"/>
      <w:bookmarkStart w:id="437" w:name="Tc_GU-jQh3KJUiCGWBv5ZoLEw_12_16"/>
      <w:bookmarkStart w:id="438" w:name="Tc_ugmE33ZyWEmu3hewo1O0nQ_12_13"/>
      <w:bookmarkStart w:id="439" w:name="Tc_0x7H2UPfYUuDDwRkdk6oIg_12_11"/>
      <w:bookmarkStart w:id="440" w:name="Tc_n2SN5M7iwEeNi32qrzAKhw_12_10"/>
      <w:bookmarkStart w:id="441" w:name="Tc_UAQavnVkq0q_UKuNTFJ1wQ_12_7"/>
      <w:bookmarkStart w:id="442" w:name="Tc_iPOB9u8vFUOoewwJ-AEjEQ_12_4"/>
      <w:bookmarkStart w:id="443" w:name="Tc_ZU_0j8CAEE6o9B__3ZcHYA_12_0"/>
      <w:bookmarkStart w:id="444" w:name="Tc_6rngn0b5e06dEq2UtKIzZA_9_16"/>
      <w:bookmarkStart w:id="445" w:name="Tc_qRlDRXNWH0WzHnsNFCk0GA_9_13"/>
      <w:bookmarkStart w:id="446" w:name="Tc_ENxpekDFPES9NYt1An_QhA_9_10"/>
      <w:bookmarkStart w:id="447" w:name="Tc_HWYQa8hxWE2uzSOxcQxVig_9_7"/>
      <w:bookmarkStart w:id="448" w:name="Tc_R6RrQkcQ-0-uaEsWd78wUA_9_4"/>
      <w:bookmarkStart w:id="449" w:name="Tc_hvwQXiYksEijJHjjxCfWRg_9_0"/>
      <w:bookmarkStart w:id="450" w:name="Tc_VnDHr0dtm06zSzEUb3QrbQ_8_11"/>
      <w:bookmarkStart w:id="451" w:name="Tc_XL4PV86qY06GAsvEt22rzQ_8_8"/>
      <w:bookmarkStart w:id="452" w:name="Tc_sGJbZzAfhUGT1RuDTXSS4w_8_5"/>
      <w:bookmarkStart w:id="453" w:name="Tc_997crFKrJkaAAiJTee5LKg_8_2"/>
      <w:bookmarkStart w:id="454" w:name="Tc_PLUw1pQ5wkWV1CT4ARa-QQ_8_0"/>
      <w:bookmarkStart w:id="455" w:name="Tc_9iXiQOUOWEOVpqzPoU1wLA_7_14"/>
      <w:bookmarkStart w:id="456" w:name="Tc_WmEGvhVQpkW36zE4WYH3Zw_7_11"/>
      <w:bookmarkStart w:id="457" w:name="Tc_WC-n1DSQukiFcd9SOmTo8w_7_0"/>
      <w:bookmarkStart w:id="458" w:name="Tc_vTAxBgRLT0Kwdg_wmiTCbA_6_14"/>
      <w:bookmarkStart w:id="459" w:name="Tc_oF5yPOxI8Em-8zK4D5aImA_6_0"/>
      <w:bookmarkStart w:id="460" w:name="Tc_iPSf3HTvE0yoAoEBUjLUVw_5_14"/>
      <w:bookmarkStart w:id="461" w:name="Tc_oUk2GVVLSUCXpThONtkWgw_5_0"/>
      <w:bookmarkStart w:id="462" w:name="Tc_6cKOTdzo9EWwUx_xgM7-ag_4_16"/>
      <w:bookmarkStart w:id="463" w:name="Tc_zkLRjxtbMUarHO5CUaJEDw_4_13"/>
      <w:bookmarkStart w:id="464" w:name="Tc_5yTgj-5jC0yMqJI0uw2ABA_4_10"/>
      <w:bookmarkStart w:id="465" w:name="Tc_Cmo7WvGc7Eqwh05wOT8jOQ_4_7"/>
      <w:bookmarkStart w:id="466" w:name="Tc_z7j-1X3iBUKEOI6gGWqxig_4_4"/>
      <w:bookmarkStart w:id="467" w:name="Tc_TU-ieVKOwUS7okb4km9KCg_4_0"/>
      <w:bookmarkStart w:id="468" w:name="Tc_fo4RCdG5Vk2iehCAMiGXKQ_3_16"/>
      <w:bookmarkStart w:id="469" w:name="Tc_T50vRrGKSE65qqdO0chjbA_3_13"/>
      <w:bookmarkStart w:id="470" w:name="Tc_GYPP8JcUBUGUPLXG5xn13A_3_10"/>
      <w:bookmarkStart w:id="471" w:name="Tc_h5asbShvDki0MW1d9cStDg_3_7"/>
      <w:bookmarkStart w:id="472" w:name="Tc_xtAxfa0bv0a0qXx1A25SJg_3_4"/>
      <w:bookmarkStart w:id="473" w:name="Tc_cHebn_YgVE-TiGCqGHRC-A_3_2"/>
      <w:bookmarkStart w:id="474" w:name="Tc_vFIiU1LJok6RdghZ56sIxw_2_16"/>
      <w:bookmarkStart w:id="475" w:name="Tc_F7tdK9vVa0e0GiHQc3ef8Q_2_13"/>
      <w:bookmarkStart w:id="476" w:name="Tc_OTotezECcUq7Jb4CkzIswg_2_10"/>
      <w:bookmarkStart w:id="477" w:name="Tc_LHlbpk_G_0i-9jYrcJbD9w_2_7"/>
      <w:bookmarkStart w:id="478" w:name="Tc_5p1ggvhGGkSf9RZBrZCHUg_2_2"/>
      <w:bookmarkStart w:id="479" w:name="Tc_CZ8dKvhQ70O3PAEPhfqFVA_1_16"/>
      <w:bookmarkStart w:id="480" w:name="Tc_UwkkjCCWz06-g65hrdwBqQ_1_2"/>
      <w:bookmarkStart w:id="481" w:name="_a41c272b_3f68_440c_84a3_ed28a5e66738"/>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p>
    <w:tbl>
      <w:tblPr>
        <w:tblW w:w="10205" w:type="dxa"/>
        <w:jc w:val="left"/>
        <w:tblInd w:w="0" w:type="dxa"/>
        <w:tblLayout w:type="fixed"/>
        <w:tblCellMar>
          <w:top w:w="0" w:type="dxa"/>
          <w:left w:w="0" w:type="dxa"/>
          <w:bottom w:w="0" w:type="dxa"/>
          <w:right w:w="0" w:type="dxa"/>
        </w:tblCellMar>
      </w:tblPr>
      <w:tblGrid>
        <w:gridCol w:w="1849"/>
        <w:gridCol w:w="346"/>
        <w:gridCol w:w="916"/>
        <w:gridCol w:w="346"/>
        <w:gridCol w:w="226"/>
        <w:gridCol w:w="511"/>
        <w:gridCol w:w="346"/>
        <w:gridCol w:w="229"/>
        <w:gridCol w:w="929"/>
        <w:gridCol w:w="346"/>
        <w:gridCol w:w="227"/>
        <w:gridCol w:w="768"/>
        <w:gridCol w:w="346"/>
        <w:gridCol w:w="226"/>
        <w:gridCol w:w="987"/>
        <w:gridCol w:w="346"/>
        <w:gridCol w:w="226"/>
        <w:gridCol w:w="1035"/>
      </w:tblGrid>
      <w:tr>
        <w:trPr/>
        <w:tc>
          <w:tcPr>
            <w:tcW w:w="1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174115" cy="175260"/>
                      <wp:effectExtent l="0" t="0" r="0" b="0"/>
                      <wp:wrapNone/>
                      <wp:docPr id="21" name="Frame21"/>
                      <a:graphic xmlns:a="http://schemas.openxmlformats.org/drawingml/2006/main">
                        <a:graphicData uri="http://schemas.microsoft.com/office/word/2010/wordprocessingShape">
                          <wps:wsp>
                            <wps:cNvSpPr txBox="1"/>
                            <wps:spPr>
                              <a:xfrm>
                                <a:off x="0" y="0"/>
                                <a:ext cx="1174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81660" cy="175260"/>
                      <wp:effectExtent l="0" t="0" r="0" b="0"/>
                      <wp:wrapNone/>
                      <wp:docPr id="23" name="Frame2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43510" cy="175260"/>
                      <wp:effectExtent l="0" t="0" r="0" b="0"/>
                      <wp:wrapNone/>
                      <wp:docPr id="25" name="Frame2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24485" cy="175260"/>
                      <wp:effectExtent l="0" t="0" r="0" b="0"/>
                      <wp:wrapNone/>
                      <wp:docPr id="26" name="Frame2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45415" cy="175260"/>
                      <wp:effectExtent l="0" t="0" r="0" b="0"/>
                      <wp:wrapNone/>
                      <wp:docPr id="28" name="Frame28"/>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89915" cy="175260"/>
                      <wp:effectExtent l="0" t="0" r="0" b="0"/>
                      <wp:wrapNone/>
                      <wp:docPr id="29" name="Frame29"/>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44145" cy="175260"/>
                      <wp:effectExtent l="0" t="0" r="0" b="0"/>
                      <wp:wrapNone/>
                      <wp:docPr id="31" name="Frame31"/>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87680" cy="175260"/>
                      <wp:effectExtent l="0" t="0" r="0" b="0"/>
                      <wp:wrapNone/>
                      <wp:docPr id="32" name="Frame32"/>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3510" cy="175260"/>
                      <wp:effectExtent l="0" t="0" r="0" b="0"/>
                      <wp:wrapNone/>
                      <wp:docPr id="34" name="Frame3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26745" cy="175260"/>
                      <wp:effectExtent l="0" t="0" r="0" b="0"/>
                      <wp:wrapNone/>
                      <wp:docPr id="35" name="Frame35"/>
                      <a:graphic xmlns:a="http://schemas.openxmlformats.org/drawingml/2006/main">
                        <a:graphicData uri="http://schemas.microsoft.com/office/word/2010/wordprocessingShape">
                          <wps:wsp>
                            <wps:cNvSpPr txBox="1"/>
                            <wps:spPr>
                              <a:xfrm>
                                <a:off x="0" y="0"/>
                                <a:ext cx="626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43510" cy="175260"/>
                      <wp:effectExtent l="0" t="0" r="0" b="0"/>
                      <wp:wrapNone/>
                      <wp:docPr id="37" name="Frame3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57225" cy="175260"/>
                      <wp:effectExtent l="0" t="0" r="0" b="0"/>
                      <wp:wrapNone/>
                      <wp:docPr id="38" name="Frame38"/>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9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center"/>
              <w:rPr/>
            </w:pPr>
            <w:r>
              <w:rPr/>
              <w:t>​</w:t>
            </w:r>
          </w:p>
        </w:tc>
        <w:tc>
          <w:tcPr>
            <w:tcW w:w="229" w:type="dxa"/>
            <w:tcBorders/>
            <w:vAlign w:val="center"/>
          </w:tcPr>
          <w:p>
            <w:pPr>
              <w:pStyle w:val="TableContents"/>
              <w:bidi w:val="0"/>
              <w:spacing w:before="0" w:after="1"/>
              <w:ind w:left="0" w:right="0" w:hanging="0"/>
              <w:jc w:val="center"/>
              <w:rPr/>
            </w:pPr>
            <w:r>
              <w:rPr/>
              <w:t>​</w:t>
            </w:r>
          </w:p>
        </w:tc>
        <w:tc>
          <w:tcPr>
            <w:tcW w:w="92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7" w:type="dxa"/>
            <w:tcBorders/>
            <w:vAlign w:val="center"/>
          </w:tcPr>
          <w:p>
            <w:pPr>
              <w:pStyle w:val="TableContents"/>
              <w:bidi w:val="0"/>
              <w:spacing w:before="0" w:after="1"/>
              <w:ind w:left="0" w:right="0" w:hanging="0"/>
              <w:jc w:val="center"/>
              <w:rPr/>
            </w:pPr>
            <w:r>
              <w:rPr/>
              <w:t>​</w:t>
            </w:r>
          </w:p>
        </w:tc>
        <w:tc>
          <w:tcPr>
            <w:tcW w:w="76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98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center"/>
              <w:rPr/>
            </w:pPr>
            <w:r>
              <w:rPr/>
              <w:t>​</w:t>
            </w:r>
          </w:p>
        </w:tc>
        <w:tc>
          <w:tcPr>
            <w:tcW w:w="9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Obligation to</w:t>
            </w:r>
          </w:p>
        </w:tc>
        <w:tc>
          <w:tcPr>
            <w:tcW w:w="346" w:type="dxa"/>
            <w:tcBorders/>
            <w:vAlign w:val="center"/>
          </w:tcPr>
          <w:p>
            <w:pPr>
              <w:pStyle w:val="TableContents"/>
              <w:bidi w:val="0"/>
              <w:spacing w:before="0" w:after="1"/>
              <w:ind w:left="0" w:right="0" w:hanging="0"/>
              <w:jc w:val="center"/>
              <w:rPr/>
            </w:pPr>
            <w:r>
              <w:rPr/>
              <w:t>​</w:t>
            </w:r>
          </w:p>
        </w:tc>
        <w:tc>
          <w:tcPr>
            <w:tcW w:w="121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center"/>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8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Shares</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center"/>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11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46" w:type="dxa"/>
            <w:tcBorders/>
            <w:vAlign w:val="center"/>
          </w:tcPr>
          <w:p>
            <w:pPr>
              <w:pStyle w:val="TableContents"/>
              <w:bidi w:val="0"/>
              <w:spacing w:before="0" w:after="1"/>
              <w:ind w:left="0" w:right="0" w:hanging="0"/>
              <w:jc w:val="center"/>
              <w:rPr/>
            </w:pPr>
            <w:r>
              <w:rPr/>
              <w:t>  ​ ​ ​</w:t>
            </w:r>
          </w:p>
        </w:tc>
        <w:tc>
          <w:tcPr>
            <w:tcW w:w="9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Issue Shares</w:t>
            </w:r>
          </w:p>
        </w:tc>
        <w:tc>
          <w:tcPr>
            <w:tcW w:w="346" w:type="dxa"/>
            <w:tcBorders/>
            <w:vAlign w:val="center"/>
          </w:tcPr>
          <w:p>
            <w:pPr>
              <w:pStyle w:val="TableContents"/>
              <w:bidi w:val="0"/>
              <w:spacing w:before="0" w:after="1"/>
              <w:ind w:left="0" w:right="0" w:hanging="0"/>
              <w:jc w:val="center"/>
              <w:rPr/>
            </w:pPr>
            <w:r>
              <w:rPr/>
              <w:t>  ​ ​ ​</w:t>
            </w:r>
          </w:p>
        </w:tc>
        <w:tc>
          <w:tcPr>
            <w:tcW w:w="12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center"/>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18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November 30, 2024</w:t>
            </w:r>
          </w:p>
        </w:tc>
        <w:tc>
          <w:tcPr>
            <w:tcW w:w="346" w:type="dxa"/>
            <w:tcBorders/>
            <w:shd w:fill="CCEEFF" w:val="clear"/>
            <w:vAlign w:val="center"/>
          </w:tcPr>
          <w:p>
            <w:pPr>
              <w:pStyle w:val="TableContents"/>
              <w:bidi w:val="0"/>
              <w:spacing w:before="0" w:after="1"/>
              <w:ind w:left="0" w:right="0" w:hanging="0"/>
              <w:jc w:val="center"/>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16,452,690</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1,645</w:t>
            </w:r>
          </w:p>
        </w:tc>
        <w:tc>
          <w:tcPr>
            <w:tcW w:w="346" w:type="dxa"/>
            <w:tcBorders/>
            <w:shd w:fill="CCEEFF" w:val="clear"/>
            <w:vAlign w:val="center"/>
          </w:tcPr>
          <w:p>
            <w:pPr>
              <w:pStyle w:val="TableContents"/>
              <w:bidi w:val="0"/>
              <w:spacing w:before="0" w:after="1"/>
              <w:ind w:left="0" w:right="0" w:hanging="0"/>
              <w:jc w:val="center"/>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227,093</w:t>
            </w:r>
          </w:p>
        </w:tc>
        <w:tc>
          <w:tcPr>
            <w:tcW w:w="346" w:type="dxa"/>
            <w:tcBorders/>
            <w:shd w:fill="CCEEFF" w:val="clear"/>
            <w:vAlign w:val="center"/>
          </w:tcPr>
          <w:p>
            <w:pPr>
              <w:pStyle w:val="TableContents"/>
              <w:bidi w:val="0"/>
              <w:spacing w:before="0" w:after="1"/>
              <w:ind w:left="0" w:right="0" w:hanging="0"/>
              <w:jc w:val="center"/>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167,750</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(1,020,057)</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(623,569)</w:t>
            </w:r>
          </w:p>
        </w:tc>
      </w:tr>
      <w:tr>
        <w:trPr/>
        <w:tc>
          <w:tcPr>
            <w:tcW w:w="18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shares</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2,252,083</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w:t>
            </w:r>
          </w:p>
        </w:tc>
        <w:tc>
          <w:tcPr>
            <w:tcW w:w="346" w:type="dxa"/>
            <w:tcBorders/>
            <w:vAlign w:val="center"/>
          </w:tcPr>
          <w:p>
            <w:pPr>
              <w:pStyle w:val="TableContents"/>
              <w:bidi w:val="0"/>
              <w:spacing w:before="0" w:after="1"/>
              <w:ind w:left="0" w:right="0" w:hanging="0"/>
              <w:jc w:val="center"/>
              <w:rPr/>
            </w:pPr>
            <w:r>
              <w:rPr/>
              <w:t>​</w:t>
            </w:r>
          </w:p>
        </w:tc>
        <w:tc>
          <w:tcPr>
            <w:tcW w:w="229"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8,015,622</w:t>
            </w:r>
          </w:p>
        </w:tc>
        <w:tc>
          <w:tcPr>
            <w:tcW w:w="346" w:type="dxa"/>
            <w:tcBorders/>
            <w:vAlign w:val="center"/>
          </w:tcPr>
          <w:p>
            <w:pPr>
              <w:pStyle w:val="TableContents"/>
              <w:bidi w:val="0"/>
              <w:spacing w:before="0" w:after="1"/>
              <w:ind w:left="0" w:right="0" w:hanging="0"/>
              <w:jc w:val="center"/>
              <w:rPr/>
            </w:pPr>
            <w:r>
              <w:rPr/>
              <w:t>​</w:t>
            </w:r>
          </w:p>
        </w:tc>
        <w:tc>
          <w:tcPr>
            <w:tcW w:w="227" w:type="dxa"/>
            <w:tcBorders/>
            <w:vAlign w:val="center"/>
          </w:tcPr>
          <w:p>
            <w:pPr>
              <w:pStyle w:val="TableContents"/>
              <w:bidi w:val="0"/>
              <w:spacing w:before="0" w:after="1"/>
              <w:ind w:left="0" w:right="0" w:hanging="0"/>
              <w:jc w:val="left"/>
              <w:rPr/>
            </w:pPr>
            <w:r>
              <w:rPr/>
              <w:t>  ​</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(427)</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  ​</w:t>
            </w:r>
          </w:p>
        </w:tc>
        <w:tc>
          <w:tcPr>
            <w:tcW w:w="9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8,015,421</w:t>
            </w:r>
          </w:p>
        </w:tc>
      </w:tr>
      <w:tr>
        <w:trPr/>
        <w:tc>
          <w:tcPr>
            <w:tcW w:w="18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shares to consultants</w:t>
            </w:r>
          </w:p>
        </w:tc>
        <w:tc>
          <w:tcPr>
            <w:tcW w:w="346" w:type="dxa"/>
            <w:tcBorders/>
            <w:shd w:fill="CCEEFF" w:val="clear"/>
            <w:vAlign w:val="center"/>
          </w:tcPr>
          <w:p>
            <w:pPr>
              <w:pStyle w:val="TableContents"/>
              <w:bidi w:val="0"/>
              <w:spacing w:before="0" w:after="1"/>
              <w:ind w:left="0" w:right="0" w:hanging="0"/>
              <w:jc w:val="center"/>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85,690</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346" w:type="dxa"/>
            <w:tcBorders/>
            <w:shd w:fill="CCEEFF" w:val="clear"/>
            <w:vAlign w:val="center"/>
          </w:tcPr>
          <w:p>
            <w:pPr>
              <w:pStyle w:val="TableContents"/>
              <w:bidi w:val="0"/>
              <w:spacing w:before="0" w:after="1"/>
              <w:ind w:left="0" w:right="0" w:hanging="0"/>
              <w:jc w:val="center"/>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304,992</w:t>
            </w:r>
          </w:p>
        </w:tc>
        <w:tc>
          <w:tcPr>
            <w:tcW w:w="346" w:type="dxa"/>
            <w:tcBorders/>
            <w:shd w:fill="CCEEFF" w:val="clear"/>
            <w:vAlign w:val="center"/>
          </w:tcPr>
          <w:p>
            <w:pPr>
              <w:pStyle w:val="TableContents"/>
              <w:bidi w:val="0"/>
              <w:spacing w:before="0" w:after="1"/>
              <w:ind w:left="0" w:right="0" w:hanging="0"/>
              <w:jc w:val="center"/>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(167,750)</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9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137,250</w:t>
            </w:r>
          </w:p>
        </w:tc>
      </w:tr>
      <w:tr>
        <w:trPr/>
        <w:tc>
          <w:tcPr>
            <w:tcW w:w="18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 issuance costs</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97,826</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346" w:type="dxa"/>
            <w:tcBorders/>
            <w:vAlign w:val="center"/>
          </w:tcPr>
          <w:p>
            <w:pPr>
              <w:pStyle w:val="TableContents"/>
              <w:bidi w:val="0"/>
              <w:spacing w:before="0" w:after="1"/>
              <w:ind w:left="0" w:right="0" w:hanging="0"/>
              <w:jc w:val="left"/>
              <w:rPr/>
            </w:pPr>
            <w:r>
              <w:rPr/>
              <w:t> </w:t>
            </w:r>
          </w:p>
        </w:tc>
        <w:tc>
          <w:tcPr>
            <w:tcW w:w="229" w:type="dxa"/>
            <w:tcBorders/>
            <w:vAlign w:val="center"/>
          </w:tcPr>
          <w:p>
            <w:pPr>
              <w:pStyle w:val="TableContents"/>
              <w:bidi w:val="0"/>
              <w:spacing w:before="0" w:after="1"/>
              <w:ind w:left="0" w:right="0" w:hanging="0"/>
              <w:jc w:val="left"/>
              <w:rPr/>
            </w:pPr>
            <w:r>
              <w:rPr/>
              <w:t>​</w:t>
            </w:r>
          </w:p>
        </w:tc>
        <w:tc>
          <w:tcPr>
            <w:tcW w:w="9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(577,130)</w:t>
            </w:r>
          </w:p>
        </w:tc>
        <w:tc>
          <w:tcPr>
            <w:tcW w:w="346" w:type="dxa"/>
            <w:tcBorders/>
            <w:vAlign w:val="center"/>
          </w:tcPr>
          <w:p>
            <w:pPr>
              <w:pStyle w:val="TableContents"/>
              <w:bidi w:val="0"/>
              <w:spacing w:before="0" w:after="1"/>
              <w:ind w:left="0" w:right="0" w:hanging="0"/>
              <w:jc w:val="left"/>
              <w:rPr/>
            </w:pPr>
            <w:r>
              <w:rPr/>
              <w:t> </w:t>
            </w:r>
          </w:p>
        </w:tc>
        <w:tc>
          <w:tcPr>
            <w:tcW w:w="227"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(577,120)</w:t>
            </w:r>
          </w:p>
        </w:tc>
      </w:tr>
      <w:tr>
        <w:trPr/>
        <w:tc>
          <w:tcPr>
            <w:tcW w:w="18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loss </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(1,692,101)</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(1,692,101)</w:t>
            </w:r>
          </w:p>
        </w:tc>
      </w:tr>
      <w:tr>
        <w:trPr/>
        <w:tc>
          <w:tcPr>
            <w:tcW w:w="184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May 31, 2025</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18,888,289</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1,889</w:t>
            </w:r>
          </w:p>
        </w:tc>
        <w:tc>
          <w:tcPr>
            <w:tcW w:w="346" w:type="dxa"/>
            <w:tcBorders/>
            <w:vAlign w:val="center"/>
          </w:tcPr>
          <w:p>
            <w:pPr>
              <w:pStyle w:val="TableContents"/>
              <w:bidi w:val="0"/>
              <w:spacing w:before="0" w:after="1"/>
              <w:ind w:left="0" w:right="0" w:hanging="0"/>
              <w:jc w:val="left"/>
              <w:rPr/>
            </w:pPr>
            <w:r>
              <w:rPr/>
              <w:t> </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7,970,577</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(427)</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(2,712,158)</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5,259,881</w:t>
            </w:r>
          </w:p>
        </w:tc>
      </w:tr>
      <w:tr>
        <w:trPr/>
        <w:tc>
          <w:tcPr>
            <w:tcW w:w="184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92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35" w:type="dxa"/>
            <w:tcBorders/>
            <w:shd w:fill="CCEEFF" w:val="clear"/>
            <w:vAlign w:val="center"/>
          </w:tcPr>
          <w:p>
            <w:pPr>
              <w:pStyle w:val="TableContents"/>
              <w:bidi w:val="0"/>
              <w:spacing w:before="0" w:after="1"/>
              <w:ind w:left="0" w:right="0" w:hanging="0"/>
              <w:jc w:val="right"/>
              <w:rPr/>
            </w:pPr>
            <w:r>
              <w:rPr/>
              <w:t>​</w:t>
            </w:r>
          </w:p>
        </w:tc>
      </w:tr>
      <w:tr>
        <w:trPr/>
        <w:tc>
          <w:tcPr>
            <w:tcW w:w="18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92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pPr>
            <w:r>
              <w:rPr/>
              <w:t>​</w:t>
            </w:r>
          </w:p>
        </w:tc>
      </w:tr>
      <w:tr>
        <w:trPr/>
        <w:tc>
          <w:tcPr>
            <w:tcW w:w="18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November 30, 2025</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18,888,289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1,889</w:t>
            </w:r>
          </w:p>
        </w:tc>
        <w:tc>
          <w:tcPr>
            <w:tcW w:w="346" w:type="dxa"/>
            <w:tcBorders/>
            <w:shd w:fill="CCEEFF" w:val="clear"/>
            <w:vAlign w:val="center"/>
          </w:tcPr>
          <w:p>
            <w:pPr>
              <w:pStyle w:val="TableContents"/>
              <w:bidi w:val="0"/>
              <w:spacing w:before="0" w:after="1"/>
              <w:ind w:left="0" w:right="0" w:hanging="0"/>
              <w:jc w:val="left"/>
              <w:rPr/>
            </w:pPr>
            <w:r>
              <w:rPr/>
              <w:t> </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7,968,157</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6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(6,280,689)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1,689,357</w:t>
            </w:r>
          </w:p>
        </w:tc>
      </w:tr>
      <w:tr>
        <w:trPr/>
        <w:tc>
          <w:tcPr>
            <w:tcW w:w="18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Conversion of redeemable common stock</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2,750,000</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275</w:t>
            </w:r>
          </w:p>
        </w:tc>
        <w:tc>
          <w:tcPr>
            <w:tcW w:w="346" w:type="dxa"/>
            <w:tcBorders/>
            <w:vAlign w:val="center"/>
          </w:tcPr>
          <w:p>
            <w:pPr>
              <w:pStyle w:val="TableContents"/>
              <w:bidi w:val="0"/>
              <w:spacing w:before="0" w:after="1"/>
              <w:ind w:left="0" w:right="0" w:hanging="0"/>
              <w:jc w:val="left"/>
              <w:rPr/>
            </w:pPr>
            <w:r>
              <w:rPr/>
              <w:t> </w:t>
            </w:r>
          </w:p>
        </w:tc>
        <w:tc>
          <w:tcPr>
            <w:tcW w:w="229"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299,725</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7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9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300,000</w:t>
            </w:r>
          </w:p>
        </w:tc>
      </w:tr>
      <w:tr>
        <w:trPr/>
        <w:tc>
          <w:tcPr>
            <w:tcW w:w="18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Reverse recapitalization</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6,230,033</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623</w:t>
            </w:r>
          </w:p>
        </w:tc>
        <w:tc>
          <w:tcPr>
            <w:tcW w:w="346" w:type="dxa"/>
            <w:tcBorders/>
            <w:shd w:fill="CCEEFF" w:val="clear"/>
            <w:vAlign w:val="center"/>
          </w:tcPr>
          <w:p>
            <w:pPr>
              <w:pStyle w:val="TableContents"/>
              <w:bidi w:val="0"/>
              <w:spacing w:before="0" w:after="1"/>
              <w:ind w:left="0" w:right="0" w:hanging="0"/>
              <w:jc w:val="left"/>
              <w:rPr/>
            </w:pPr>
            <w:r>
              <w:rPr/>
              <w:t> </w:t>
            </w:r>
          </w:p>
        </w:tc>
        <w:tc>
          <w:tcPr>
            <w:tcW w:w="229"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1,990,561</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76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9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1,991,184</w:t>
            </w:r>
          </w:p>
        </w:tc>
      </w:tr>
      <w:tr>
        <w:trPr/>
        <w:tc>
          <w:tcPr>
            <w:tcW w:w="18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shares for acquisition of Oregon Energy LLC</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1,710,991</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w:t>
            </w:r>
          </w:p>
        </w:tc>
        <w:tc>
          <w:tcPr>
            <w:tcW w:w="346" w:type="dxa"/>
            <w:tcBorders/>
            <w:vAlign w:val="center"/>
          </w:tcPr>
          <w:p>
            <w:pPr>
              <w:pStyle w:val="TableContents"/>
              <w:bidi w:val="0"/>
              <w:spacing w:before="0" w:after="1"/>
              <w:ind w:left="0" w:right="0" w:hanging="0"/>
              <w:jc w:val="left"/>
              <w:rPr/>
            </w:pPr>
            <w:r>
              <w:rPr/>
              <w:t> </w:t>
            </w:r>
          </w:p>
        </w:tc>
        <w:tc>
          <w:tcPr>
            <w:tcW w:w="229" w:type="dxa"/>
            <w:tcBorders/>
            <w:vAlign w:val="center"/>
          </w:tcPr>
          <w:p>
            <w:pPr>
              <w:pStyle w:val="TableContents"/>
              <w:bidi w:val="0"/>
              <w:spacing w:before="0" w:after="1"/>
              <w:ind w:left="0" w:right="0" w:hanging="0"/>
              <w:jc w:val="left"/>
              <w:rPr/>
            </w:pPr>
            <w:r>
              <w:rPr/>
              <w:t> </w:t>
            </w:r>
          </w:p>
        </w:tc>
        <w:tc>
          <w:tcPr>
            <w:tcW w:w="9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11,959,656</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7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9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11,959,827</w:t>
            </w:r>
          </w:p>
        </w:tc>
      </w:tr>
      <w:tr>
        <w:trPr/>
        <w:tc>
          <w:tcPr>
            <w:tcW w:w="18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mezzanine equity</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9"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(204,076)</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76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9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(204,076)</w:t>
            </w:r>
          </w:p>
        </w:tc>
      </w:tr>
      <w:tr>
        <w:trPr/>
        <w:tc>
          <w:tcPr>
            <w:tcW w:w="18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Correction of share issuance</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92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pPr>
            <w:r>
              <w:rPr/>
              <w:t>—</w:t>
            </w:r>
          </w:p>
        </w:tc>
      </w:tr>
      <w:tr>
        <w:trPr/>
        <w:tc>
          <w:tcPr>
            <w:tcW w:w="18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issued for warrant exercises</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2,300</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76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2,300</w:t>
            </w:r>
          </w:p>
        </w:tc>
      </w:tr>
      <w:tr>
        <w:trPr/>
        <w:tc>
          <w:tcPr>
            <w:tcW w:w="18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 based compensation - Options</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9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2,308,868</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0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2,308,868</w:t>
            </w:r>
          </w:p>
        </w:tc>
      </w:tr>
      <w:tr>
        <w:trPr/>
        <w:tc>
          <w:tcPr>
            <w:tcW w:w="18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 based compensation - RSUs</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9" w:type="dxa"/>
            <w:tcBorders/>
            <w:shd w:fill="CCEEFF" w:val="clear"/>
            <w:vAlign w:val="center"/>
          </w:tcPr>
          <w:p>
            <w:pPr>
              <w:pStyle w:val="TableContents"/>
              <w:bidi w:val="0"/>
              <w:spacing w:before="0" w:after="1"/>
              <w:ind w:left="0" w:right="0" w:hanging="0"/>
              <w:jc w:val="left"/>
              <w:rPr/>
            </w:pPr>
            <w:r>
              <w:rPr/>
              <w:t> </w:t>
            </w:r>
          </w:p>
        </w:tc>
        <w:tc>
          <w:tcPr>
            <w:tcW w:w="9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2,287,304</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76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9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0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2,287,304</w:t>
            </w:r>
          </w:p>
        </w:tc>
      </w:tr>
      <w:tr>
        <w:trPr/>
        <w:tc>
          <w:tcPr>
            <w:tcW w:w="184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 attributable to common stockholders</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(27,314,980)</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(27,314,980)</w:t>
            </w:r>
          </w:p>
        </w:tc>
      </w:tr>
      <w:tr>
        <w:trPr/>
        <w:tc>
          <w:tcPr>
            <w:tcW w:w="184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May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29,579,798</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2,958</w:t>
            </w:r>
          </w:p>
        </w:tc>
        <w:tc>
          <w:tcPr>
            <w:tcW w:w="346" w:type="dxa"/>
            <w:tcBorders/>
            <w:shd w:fill="CCEEFF" w:val="clear"/>
            <w:vAlign w:val="center"/>
          </w:tcPr>
          <w:p>
            <w:pPr>
              <w:pStyle w:val="TableContents"/>
              <w:bidi w:val="0"/>
              <w:spacing w:before="0" w:after="1"/>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26,612,495</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(33,595,669)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(6,980,216)</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shares of the Company’s common stock, prior to the de-SPAC (as defined in Note 1) have been retroactively restated to reflect the exchange ratio of approximately 5.8349:1 established in the de-SPAC, as described in Note 4.</w:t>
            </w:r>
          </w:p>
        </w:tc>
      </w:tr>
    </w:tbl>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interim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EAGLE NUCLEAR ENERGY CORP. </w:t>
      </w:r>
    </w:p>
    <w:p>
      <w:pPr>
        <w:pStyle w:val="TextBody"/>
        <w:bidi w:val="0"/>
        <w:spacing w:before="0" w:after="0"/>
        <w:ind w:left="0" w:right="0" w:hanging="0"/>
        <w:jc w:val="both"/>
        <w:rPr>
          <w:rFonts w:ascii="Times New Roman;Times;serif" w:hAnsi="Times New Roman;Times;serif"/>
          <w:b/>
          <w:sz w:val="20"/>
        </w:rPr>
      </w:pPr>
      <w:bookmarkStart w:id="482" w:name="equitythreemonthended"/>
      <w:bookmarkEnd w:id="482"/>
      <w:r>
        <w:rPr>
          <w:rFonts w:ascii="Times New Roman;Times;serif" w:hAnsi="Times New Roman;Times;serif"/>
          <w:b/>
          <w:sz w:val="20"/>
        </w:rPr>
        <w:t>CONDENSED CONSOLIDATED INTERIM STATEMENTS OF CHANGES IN STOCKHOLDERS’ EQUITY (DEFICIT)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MONTHS ENDED MAY 31, 2026 AND 2025 (UNAUDITED)</w:t>
      </w:r>
    </w:p>
    <w:p>
      <w:pPr>
        <w:pStyle w:val="Normal"/>
        <w:bidi w:val="0"/>
        <w:spacing w:before="0" w:after="0"/>
        <w:jc w:val="left"/>
        <w:rPr>
          <w:sz w:val="4"/>
          <w:szCs w:val="4"/>
        </w:rPr>
      </w:pPr>
      <w:r>
        <w:rPr>
          <w:sz w:val="4"/>
          <w:szCs w:val="4"/>
        </w:rPr>
      </w:r>
      <w:bookmarkStart w:id="483" w:name="Tc_iQTSkNlbkEO9QJurlaLMVw_21_16"/>
      <w:bookmarkStart w:id="484" w:name="Tc_xO8VaOuYlE60ERSk3rzE1A_21_13"/>
      <w:bookmarkStart w:id="485" w:name="Tc_7ggKnP_j5ka3xg6mezumBg_21_11"/>
      <w:bookmarkStart w:id="486" w:name="Tc_vlL_deOLHUu6el78t7Q5ZA_21_10"/>
      <w:bookmarkStart w:id="487" w:name="Tc_en9wUF597UuTHJVjS0UfaA_21_7"/>
      <w:bookmarkStart w:id="488" w:name="Tc_i0AhBvJbtUush3RvA1ngxg_21_4"/>
      <w:bookmarkStart w:id="489" w:name="Tc_Qq829cDNKkWrGef4_XKvjg_21_0"/>
      <w:bookmarkStart w:id="490" w:name="Tc_5mbFL_UTx0Cds8BvZdwfHw_20_11"/>
      <w:bookmarkStart w:id="491" w:name="Tc_W9NtVWdJ_0OfgcnN65UJhg_20_8"/>
      <w:bookmarkStart w:id="492" w:name="Tc_FY4cqvzoa0qjorqo3BLBIg_20_5"/>
      <w:bookmarkStart w:id="493" w:name="Tc_v-9GkgL5cU-mYih80tCrUA_20_2"/>
      <w:bookmarkStart w:id="494" w:name="Tc_-7q2ptLtNUuGuZfoDSuVOQ_20_0"/>
      <w:bookmarkStart w:id="495" w:name="Tc_KGsmCwufOkSMt9gihxBuUQ_19_14"/>
      <w:bookmarkStart w:id="496" w:name="Tc_9hLXoDSLvkK_iWhxivRtpQ_19_11"/>
      <w:bookmarkStart w:id="497" w:name="Tc_n58adTF1GE-2bfqMwpt30g_19_5"/>
      <w:bookmarkStart w:id="498" w:name="Tc_PlP7Lw3mfEq4wqN7knCcEw_19_2"/>
      <w:bookmarkStart w:id="499" w:name="Tc_vPrSVJ4AgkeFqMnGIb-I-A_19_0"/>
      <w:bookmarkStart w:id="500" w:name="Tc_tiKh4VZf60Ss6PC6KL4yng_18_14"/>
      <w:bookmarkStart w:id="501" w:name="Tc_ZwSxBojL40eM1FfpYBHtuQ_18_11"/>
      <w:bookmarkStart w:id="502" w:name="Tc_EzXu74Ul1EaGnfIewTDgCg_18_5"/>
      <w:bookmarkStart w:id="503" w:name="Tc_-FDRYiSJO06EZEt8x4rDJA_18_2"/>
      <w:bookmarkStart w:id="504" w:name="Tc_PbCbm07TEE6s04rlEJaDQQ_18_0"/>
      <w:bookmarkStart w:id="505" w:name="Tc_6mNg0rxPjUufK-XoCToJ-Q_17_14"/>
      <w:bookmarkStart w:id="506" w:name="Tc_36cXondfGUKwcQ7qQwBJ1w_17_11"/>
      <w:bookmarkStart w:id="507" w:name="Tc_wH3xZe0YfE-8oO43Rc8eiQ_17_5"/>
      <w:bookmarkStart w:id="508" w:name="Tc_6RdsPNAb9EO5FJkNn4gJmg_17_0"/>
      <w:bookmarkStart w:id="509" w:name="Tc_MzVGw8cg9kKYFD0BQT0Aqw_16_17"/>
      <w:bookmarkStart w:id="510" w:name="Tc_2ZKiGqviDUePvENuBWrkhA_16_14"/>
      <w:bookmarkStart w:id="511" w:name="Tc_SJtKzVtPa0GTj1jCx9rR2g_16_11"/>
      <w:bookmarkStart w:id="512" w:name="Tc_8E_JTSjKBU2ukBSH7UpYig_16_8"/>
      <w:bookmarkStart w:id="513" w:name="Tc_CJKPWobRHEa0PO-eWGj2MA_16_5"/>
      <w:bookmarkStart w:id="514" w:name="Tc_4p0PMKXsCkyHyRZ17OILsg_16_0"/>
      <w:bookmarkStart w:id="515" w:name="Tc_nVii7AmRBE-yZx-wL9WDpw_15_14"/>
      <w:bookmarkStart w:id="516" w:name="Tc_ucs3mrtK5EOrPRavHwnbuA_15_11"/>
      <w:bookmarkStart w:id="517" w:name="Tc_zM706UEfF06a8KlPqcprwg_15_5"/>
      <w:bookmarkStart w:id="518" w:name="Tc_5BwF81c0y0eBNtbjZ_Jdcg_15_2"/>
      <w:bookmarkStart w:id="519" w:name="Tc_ib6PEc-vlUqOQk8NHjF8Ug_15_0"/>
      <w:bookmarkStart w:id="520" w:name="Tc_5gExMxNWREeqklnIgstu2g_14_17"/>
      <w:bookmarkStart w:id="521" w:name="Tc_zK_k_JGRm0WGDYEcHmjxsA_14_14"/>
      <w:bookmarkStart w:id="522" w:name="Tc_Gz3omnCmb0-X7RrYz-6Lbg_14_11"/>
      <w:bookmarkStart w:id="523" w:name="Tc_GDl0cqE4o0quiUkrRmTxOQ_14_8"/>
      <w:bookmarkStart w:id="524" w:name="Tc_sdM0nOclYkmKhI6GUFPDHQ_14_5"/>
      <w:bookmarkStart w:id="525" w:name="Tc_biQRXZBHq0mKGI6v8K2mnQ_14_2"/>
      <w:bookmarkStart w:id="526" w:name="Tc_k4WiCgeRsUmZ_CxvcdJEag_14_0"/>
      <w:bookmarkStart w:id="527" w:name="Tc_RW9I7Qi_R0Cin-cfwDI9dg_13_17"/>
      <w:bookmarkStart w:id="528" w:name="Tc_SRNP6tRDH0utUtN2aBMybg_13_14"/>
      <w:bookmarkStart w:id="529" w:name="Tc_NP_3ZFt_YEC_EnTKMmfqlw_13_11"/>
      <w:bookmarkStart w:id="530" w:name="Tc_-4CGMJV0RUCaFal3U6LvoA_13_8"/>
      <w:bookmarkStart w:id="531" w:name="Tc_-YaS_rcoHkWcv1ryt5s-Iw_13_5"/>
      <w:bookmarkStart w:id="532" w:name="Tc_Cg24IrEAhUCzgbn2C29e2w_13_2"/>
      <w:bookmarkStart w:id="533" w:name="Tc_HEs0kyS4P0eup6bgoKQtRA_13_0"/>
      <w:bookmarkStart w:id="534" w:name="Tc_n-Qq3vuttkuM_fDFE-_hew_12_17"/>
      <w:bookmarkStart w:id="535" w:name="Tc_Ritdyn2SfESDZKh4s6ri_g_12_14"/>
      <w:bookmarkStart w:id="536" w:name="Tc_ERj8hcYITkmqTfIS1fLxFw_12_11"/>
      <w:bookmarkStart w:id="537" w:name="Tc_PhA0N4oCUkG8rsymM-TLbQ_12_8"/>
      <w:bookmarkStart w:id="538" w:name="Tc_JifuJVDW3kSCFngsJ8dfKw_12_5"/>
      <w:bookmarkStart w:id="539" w:name="Tc_h1bSyRHoDE-Jo3Jn0qcHTQ_12_2"/>
      <w:bookmarkStart w:id="540" w:name="Tc_auSovPNVBUqTZTuD8tk5mw_12_0"/>
      <w:bookmarkStart w:id="541" w:name="Tc_FXYX8zChkkiT3LxO_2LHqg_11_16"/>
      <w:bookmarkStart w:id="542" w:name="Tc_kCFIG36cGkySQhWeDdXtkA_11_13"/>
      <w:bookmarkStart w:id="543" w:name="Tc_C7wGGNBvF0q5_Nnmak91LA_11_11"/>
      <w:bookmarkStart w:id="544" w:name="Tc_wLLIjfBZ1UOa3qChB7YCiQ_11_10"/>
      <w:bookmarkStart w:id="545" w:name="Tc_arEPdmt_fE6vJVPev9wUZQ_11_7"/>
      <w:bookmarkStart w:id="546" w:name="Tc_Qhs_H207O0atF5SswXZlng_11_4"/>
      <w:bookmarkStart w:id="547" w:name="Tc_ZI9KEpfb9UyargzXfOK-_w_11_0"/>
      <w:bookmarkStart w:id="548" w:name="Tc_CBlw7W_M3UaLuM4f1x3pgw_9_16"/>
      <w:bookmarkStart w:id="549" w:name="Tc_SXzloQctmU-AADYVkmotsQ_9_13"/>
      <w:bookmarkStart w:id="550" w:name="Tc_G7UIk0U9BkO6RoZc_XrnYw_9_10"/>
      <w:bookmarkStart w:id="551" w:name="Tc_UqsXCEqpY0axSPbH3Uwyew_9_7"/>
      <w:bookmarkStart w:id="552" w:name="Tc_IWmXdv71RkGU_Mwf_IZWDg_9_4"/>
      <w:bookmarkStart w:id="553" w:name="Tc_HEtr8coNy06oqpqwPGSd_Q_9_0"/>
      <w:bookmarkStart w:id="554" w:name="Tc_n-qNRdMhWkOZ3Wy5aSCg9A_8_11"/>
      <w:bookmarkStart w:id="555" w:name="Tc_PeFsh4IulEORlAk7jNXeNA_8_8"/>
      <w:bookmarkStart w:id="556" w:name="Tc_Kk10fjjllEK3GQHrClfpaA_8_5"/>
      <w:bookmarkStart w:id="557" w:name="Tc_Wi-uzoF8vki5PL8O28bkAA_8_2"/>
      <w:bookmarkStart w:id="558" w:name="Tc_YNRWWr1G-Uag25hIYkxHEg_8_0"/>
      <w:bookmarkStart w:id="559" w:name="Tc_d_114WLI-0aD9X1wzJ-Q3Q_7_14"/>
      <w:bookmarkStart w:id="560" w:name="Tc_F7E72_vLJEWYsK4MU2wkHA_7_11"/>
      <w:bookmarkStart w:id="561" w:name="Tc_nU3CKC25wkuLQxJi9oFyNw_7_0"/>
      <w:bookmarkStart w:id="562" w:name="Tc_gBEAhii9hkSFbINFJJfPyA_6_14"/>
      <w:bookmarkStart w:id="563" w:name="Tc_h9Tf_M2HRU-xHcvtx5ko_w_6_11"/>
      <w:bookmarkStart w:id="564" w:name="Tc_RCa06ywNQk-umkLWLfgKSA_6_0"/>
      <w:bookmarkStart w:id="565" w:name="Tc_rF5lU6fABkSeZakm3nanwg_5_14"/>
      <w:bookmarkStart w:id="566" w:name="Tc_JbfBx5__pkGkyEZ4RwK0Bw_5_0"/>
      <w:bookmarkStart w:id="567" w:name="Tc_q-fdAYXQBE2nB1pFrsSmAw_4_16"/>
      <w:bookmarkStart w:id="568" w:name="Tc_T5Z_QihURkmguSx4FkK_BQ_4_13"/>
      <w:bookmarkStart w:id="569" w:name="Tc_BX8CUNUuWU6NFkMtMQsSkw_4_10"/>
      <w:bookmarkStart w:id="570" w:name="Tc_185106CqrEGtnltvxsNJug_4_7"/>
      <w:bookmarkStart w:id="571" w:name="Tc_Di_zwp85F0ifj03WTuVCvQ_4_4"/>
      <w:bookmarkStart w:id="572" w:name="Tc_yZh5PMqlp0qkoFptySwjfA_4_0"/>
      <w:bookmarkStart w:id="573" w:name="Tc__3yAjm4QgUWL-VvcmqsWJw_3_16"/>
      <w:bookmarkStart w:id="574" w:name="Tc_xvZ3ovnvSECRLXot2drX1Q_3_13"/>
      <w:bookmarkStart w:id="575" w:name="Tc_BLmMP8A4pUaOLgXr2Dhqdg_3_10"/>
      <w:bookmarkStart w:id="576" w:name="Tc_eJPfuT0IUU2eTs7pR2RRhw_3_7"/>
      <w:bookmarkStart w:id="577" w:name="Tc_zcsMtQKJE0yL9sTyHgqxVQ_3_4"/>
      <w:bookmarkStart w:id="578" w:name="Tc_yuixrRw5F0ybSXyQWFpWTA_3_2"/>
      <w:bookmarkStart w:id="579" w:name="Tc_CZlut9mfW0SeQCtxfsDZew_2_16"/>
      <w:bookmarkStart w:id="580" w:name="Tc_Aka17HsS9UqI-1nQwmCcIQ_2_13"/>
      <w:bookmarkStart w:id="581" w:name="Tc_SiF0pGtnRESqjG_KaC0tTw_2_10"/>
      <w:bookmarkStart w:id="582" w:name="Tc_FvEN4ANVhkO0MxSdxcGrkw_2_7"/>
      <w:bookmarkStart w:id="583" w:name="Tc_h3ENYHM_OkuLx61DkxoFxA_2_2"/>
      <w:bookmarkStart w:id="584" w:name="Tc_JR2V-N1SEk-yqzeJXa3g3w_1_16"/>
      <w:bookmarkStart w:id="585" w:name="Tc_rtzxOjwKhkGKR5QuLSlqWw_1_2"/>
      <w:bookmarkStart w:id="586" w:name="_3c9f7b9c_a9ac_4443_bf7c_a0027d6ae02f"/>
      <w:bookmarkStart w:id="587" w:name="Tc_iQTSkNlbkEO9QJurlaLMVw_21_16"/>
      <w:bookmarkStart w:id="588" w:name="Tc_xO8VaOuYlE60ERSk3rzE1A_21_13"/>
      <w:bookmarkStart w:id="589" w:name="Tc_7ggKnP_j5ka3xg6mezumBg_21_11"/>
      <w:bookmarkStart w:id="590" w:name="Tc_vlL_deOLHUu6el78t7Q5ZA_21_10"/>
      <w:bookmarkStart w:id="591" w:name="Tc_en9wUF597UuTHJVjS0UfaA_21_7"/>
      <w:bookmarkStart w:id="592" w:name="Tc_i0AhBvJbtUush3RvA1ngxg_21_4"/>
      <w:bookmarkStart w:id="593" w:name="Tc_Qq829cDNKkWrGef4_XKvjg_21_0"/>
      <w:bookmarkStart w:id="594" w:name="Tc_5mbFL_UTx0Cds8BvZdwfHw_20_11"/>
      <w:bookmarkStart w:id="595" w:name="Tc_W9NtVWdJ_0OfgcnN65UJhg_20_8"/>
      <w:bookmarkStart w:id="596" w:name="Tc_FY4cqvzoa0qjorqo3BLBIg_20_5"/>
      <w:bookmarkStart w:id="597" w:name="Tc_v-9GkgL5cU-mYih80tCrUA_20_2"/>
      <w:bookmarkStart w:id="598" w:name="Tc_-7q2ptLtNUuGuZfoDSuVOQ_20_0"/>
      <w:bookmarkStart w:id="599" w:name="Tc_KGsmCwufOkSMt9gihxBuUQ_19_14"/>
      <w:bookmarkStart w:id="600" w:name="Tc_9hLXoDSLvkK_iWhxivRtpQ_19_11"/>
      <w:bookmarkStart w:id="601" w:name="Tc_n58adTF1GE-2bfqMwpt30g_19_5"/>
      <w:bookmarkStart w:id="602" w:name="Tc_PlP7Lw3mfEq4wqN7knCcEw_19_2"/>
      <w:bookmarkStart w:id="603" w:name="Tc_vPrSVJ4AgkeFqMnGIb-I-A_19_0"/>
      <w:bookmarkStart w:id="604" w:name="Tc_tiKh4VZf60Ss6PC6KL4yng_18_14"/>
      <w:bookmarkStart w:id="605" w:name="Tc_ZwSxBojL40eM1FfpYBHtuQ_18_11"/>
      <w:bookmarkStart w:id="606" w:name="Tc_EzXu74Ul1EaGnfIewTDgCg_18_5"/>
      <w:bookmarkStart w:id="607" w:name="Tc_-FDRYiSJO06EZEt8x4rDJA_18_2"/>
      <w:bookmarkStart w:id="608" w:name="Tc_PbCbm07TEE6s04rlEJaDQQ_18_0"/>
      <w:bookmarkStart w:id="609" w:name="Tc_6mNg0rxPjUufK-XoCToJ-Q_17_14"/>
      <w:bookmarkStart w:id="610" w:name="Tc_36cXondfGUKwcQ7qQwBJ1w_17_11"/>
      <w:bookmarkStart w:id="611" w:name="Tc_wH3xZe0YfE-8oO43Rc8eiQ_17_5"/>
      <w:bookmarkStart w:id="612" w:name="Tc_6RdsPNAb9EO5FJkNn4gJmg_17_0"/>
      <w:bookmarkStart w:id="613" w:name="Tc_MzVGw8cg9kKYFD0BQT0Aqw_16_17"/>
      <w:bookmarkStart w:id="614" w:name="Tc_2ZKiGqviDUePvENuBWrkhA_16_14"/>
      <w:bookmarkStart w:id="615" w:name="Tc_SJtKzVtPa0GTj1jCx9rR2g_16_11"/>
      <w:bookmarkStart w:id="616" w:name="Tc_8E_JTSjKBU2ukBSH7UpYig_16_8"/>
      <w:bookmarkStart w:id="617" w:name="Tc_CJKPWobRHEa0PO-eWGj2MA_16_5"/>
      <w:bookmarkStart w:id="618" w:name="Tc_4p0PMKXsCkyHyRZ17OILsg_16_0"/>
      <w:bookmarkStart w:id="619" w:name="Tc_nVii7AmRBE-yZx-wL9WDpw_15_14"/>
      <w:bookmarkStart w:id="620" w:name="Tc_ucs3mrtK5EOrPRavHwnbuA_15_11"/>
      <w:bookmarkStart w:id="621" w:name="Tc_zM706UEfF06a8KlPqcprwg_15_5"/>
      <w:bookmarkStart w:id="622" w:name="Tc_5BwF81c0y0eBNtbjZ_Jdcg_15_2"/>
      <w:bookmarkStart w:id="623" w:name="Tc_ib6PEc-vlUqOQk8NHjF8Ug_15_0"/>
      <w:bookmarkStart w:id="624" w:name="Tc_5gExMxNWREeqklnIgstu2g_14_17"/>
      <w:bookmarkStart w:id="625" w:name="Tc_zK_k_JGRm0WGDYEcHmjxsA_14_14"/>
      <w:bookmarkStart w:id="626" w:name="Tc_Gz3omnCmb0-X7RrYz-6Lbg_14_11"/>
      <w:bookmarkStart w:id="627" w:name="Tc_GDl0cqE4o0quiUkrRmTxOQ_14_8"/>
      <w:bookmarkStart w:id="628" w:name="Tc_sdM0nOclYkmKhI6GUFPDHQ_14_5"/>
      <w:bookmarkStart w:id="629" w:name="Tc_biQRXZBHq0mKGI6v8K2mnQ_14_2"/>
      <w:bookmarkStart w:id="630" w:name="Tc_k4WiCgeRsUmZ_CxvcdJEag_14_0"/>
      <w:bookmarkStart w:id="631" w:name="Tc_RW9I7Qi_R0Cin-cfwDI9dg_13_17"/>
      <w:bookmarkStart w:id="632" w:name="Tc_SRNP6tRDH0utUtN2aBMybg_13_14"/>
      <w:bookmarkStart w:id="633" w:name="Tc_NP_3ZFt_YEC_EnTKMmfqlw_13_11"/>
      <w:bookmarkStart w:id="634" w:name="Tc_-4CGMJV0RUCaFal3U6LvoA_13_8"/>
      <w:bookmarkStart w:id="635" w:name="Tc_-YaS_rcoHkWcv1ryt5s-Iw_13_5"/>
      <w:bookmarkStart w:id="636" w:name="Tc_Cg24IrEAhUCzgbn2C29e2w_13_2"/>
      <w:bookmarkStart w:id="637" w:name="Tc_HEs0kyS4P0eup6bgoKQtRA_13_0"/>
      <w:bookmarkStart w:id="638" w:name="Tc_n-Qq3vuttkuM_fDFE-_hew_12_17"/>
      <w:bookmarkStart w:id="639" w:name="Tc_Ritdyn2SfESDZKh4s6ri_g_12_14"/>
      <w:bookmarkStart w:id="640" w:name="Tc_ERj8hcYITkmqTfIS1fLxFw_12_11"/>
      <w:bookmarkStart w:id="641" w:name="Tc_PhA0N4oCUkG8rsymM-TLbQ_12_8"/>
      <w:bookmarkStart w:id="642" w:name="Tc_JifuJVDW3kSCFngsJ8dfKw_12_5"/>
      <w:bookmarkStart w:id="643" w:name="Tc_h1bSyRHoDE-Jo3Jn0qcHTQ_12_2"/>
      <w:bookmarkStart w:id="644" w:name="Tc_auSovPNVBUqTZTuD8tk5mw_12_0"/>
      <w:bookmarkStart w:id="645" w:name="Tc_FXYX8zChkkiT3LxO_2LHqg_11_16"/>
      <w:bookmarkStart w:id="646" w:name="Tc_kCFIG36cGkySQhWeDdXtkA_11_13"/>
      <w:bookmarkStart w:id="647" w:name="Tc_C7wGGNBvF0q5_Nnmak91LA_11_11"/>
      <w:bookmarkStart w:id="648" w:name="Tc_wLLIjfBZ1UOa3qChB7YCiQ_11_10"/>
      <w:bookmarkStart w:id="649" w:name="Tc_arEPdmt_fE6vJVPev9wUZQ_11_7"/>
      <w:bookmarkStart w:id="650" w:name="Tc_Qhs_H207O0atF5SswXZlng_11_4"/>
      <w:bookmarkStart w:id="651" w:name="Tc_ZI9KEpfb9UyargzXfOK-_w_11_0"/>
      <w:bookmarkStart w:id="652" w:name="Tc_CBlw7W_M3UaLuM4f1x3pgw_9_16"/>
      <w:bookmarkStart w:id="653" w:name="Tc_SXzloQctmU-AADYVkmotsQ_9_13"/>
      <w:bookmarkStart w:id="654" w:name="Tc_G7UIk0U9BkO6RoZc_XrnYw_9_10"/>
      <w:bookmarkStart w:id="655" w:name="Tc_UqsXCEqpY0axSPbH3Uwyew_9_7"/>
      <w:bookmarkStart w:id="656" w:name="Tc_IWmXdv71RkGU_Mwf_IZWDg_9_4"/>
      <w:bookmarkStart w:id="657" w:name="Tc_HEtr8coNy06oqpqwPGSd_Q_9_0"/>
      <w:bookmarkStart w:id="658" w:name="Tc_n-qNRdMhWkOZ3Wy5aSCg9A_8_11"/>
      <w:bookmarkStart w:id="659" w:name="Tc_PeFsh4IulEORlAk7jNXeNA_8_8"/>
      <w:bookmarkStart w:id="660" w:name="Tc_Kk10fjjllEK3GQHrClfpaA_8_5"/>
      <w:bookmarkStart w:id="661" w:name="Tc_Wi-uzoF8vki5PL8O28bkAA_8_2"/>
      <w:bookmarkStart w:id="662" w:name="Tc_YNRWWr1G-Uag25hIYkxHEg_8_0"/>
      <w:bookmarkStart w:id="663" w:name="Tc_d_114WLI-0aD9X1wzJ-Q3Q_7_14"/>
      <w:bookmarkStart w:id="664" w:name="Tc_F7E72_vLJEWYsK4MU2wkHA_7_11"/>
      <w:bookmarkStart w:id="665" w:name="Tc_nU3CKC25wkuLQxJi9oFyNw_7_0"/>
      <w:bookmarkStart w:id="666" w:name="Tc_gBEAhii9hkSFbINFJJfPyA_6_14"/>
      <w:bookmarkStart w:id="667" w:name="Tc_h9Tf_M2HRU-xHcvtx5ko_w_6_11"/>
      <w:bookmarkStart w:id="668" w:name="Tc_RCa06ywNQk-umkLWLfgKSA_6_0"/>
      <w:bookmarkStart w:id="669" w:name="Tc_rF5lU6fABkSeZakm3nanwg_5_14"/>
      <w:bookmarkStart w:id="670" w:name="Tc_JbfBx5__pkGkyEZ4RwK0Bw_5_0"/>
      <w:bookmarkStart w:id="671" w:name="Tc_q-fdAYXQBE2nB1pFrsSmAw_4_16"/>
      <w:bookmarkStart w:id="672" w:name="Tc_T5Z_QihURkmguSx4FkK_BQ_4_13"/>
      <w:bookmarkStart w:id="673" w:name="Tc_BX8CUNUuWU6NFkMtMQsSkw_4_10"/>
      <w:bookmarkStart w:id="674" w:name="Tc_185106CqrEGtnltvxsNJug_4_7"/>
      <w:bookmarkStart w:id="675" w:name="Tc_Di_zwp85F0ifj03WTuVCvQ_4_4"/>
      <w:bookmarkStart w:id="676" w:name="Tc_yZh5PMqlp0qkoFptySwjfA_4_0"/>
      <w:bookmarkStart w:id="677" w:name="Tc__3yAjm4QgUWL-VvcmqsWJw_3_16"/>
      <w:bookmarkStart w:id="678" w:name="Tc_xvZ3ovnvSECRLXot2drX1Q_3_13"/>
      <w:bookmarkStart w:id="679" w:name="Tc_BLmMP8A4pUaOLgXr2Dhqdg_3_10"/>
      <w:bookmarkStart w:id="680" w:name="Tc_eJPfuT0IUU2eTs7pR2RRhw_3_7"/>
      <w:bookmarkStart w:id="681" w:name="Tc_zcsMtQKJE0yL9sTyHgqxVQ_3_4"/>
      <w:bookmarkStart w:id="682" w:name="Tc_yuixrRw5F0ybSXyQWFpWTA_3_2"/>
      <w:bookmarkStart w:id="683" w:name="Tc_CZlut9mfW0SeQCtxfsDZew_2_16"/>
      <w:bookmarkStart w:id="684" w:name="Tc_Aka17HsS9UqI-1nQwmCcIQ_2_13"/>
      <w:bookmarkStart w:id="685" w:name="Tc_SiF0pGtnRESqjG_KaC0tTw_2_10"/>
      <w:bookmarkStart w:id="686" w:name="Tc_FvEN4ANVhkO0MxSdxcGrkw_2_7"/>
      <w:bookmarkStart w:id="687" w:name="Tc_h3ENYHM_OkuLx61DkxoFxA_2_2"/>
      <w:bookmarkStart w:id="688" w:name="Tc_JR2V-N1SEk-yqzeJXa3g3w_1_16"/>
      <w:bookmarkStart w:id="689" w:name="Tc_rtzxOjwKhkGKR5QuLSlqWw_1_2"/>
      <w:bookmarkStart w:id="690" w:name="_3c9f7b9c_a9ac_4443_bf7c_a0027d6ae02f"/>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p>
    <w:tbl>
      <w:tblPr>
        <w:tblW w:w="10205" w:type="dxa"/>
        <w:jc w:val="left"/>
        <w:tblInd w:w="0" w:type="dxa"/>
        <w:tblLayout w:type="fixed"/>
        <w:tblCellMar>
          <w:top w:w="0" w:type="dxa"/>
          <w:left w:w="0" w:type="dxa"/>
          <w:bottom w:w="0" w:type="dxa"/>
          <w:right w:w="0" w:type="dxa"/>
        </w:tblCellMar>
      </w:tblPr>
      <w:tblGrid>
        <w:gridCol w:w="1457"/>
        <w:gridCol w:w="346"/>
        <w:gridCol w:w="917"/>
        <w:gridCol w:w="346"/>
        <w:gridCol w:w="196"/>
        <w:gridCol w:w="511"/>
        <w:gridCol w:w="346"/>
        <w:gridCol w:w="346"/>
        <w:gridCol w:w="916"/>
        <w:gridCol w:w="346"/>
        <w:gridCol w:w="346"/>
        <w:gridCol w:w="890"/>
        <w:gridCol w:w="346"/>
        <w:gridCol w:w="346"/>
        <w:gridCol w:w="980"/>
        <w:gridCol w:w="346"/>
        <w:gridCol w:w="196"/>
        <w:gridCol w:w="1028"/>
      </w:tblGrid>
      <w:tr>
        <w:trPr/>
        <w:tc>
          <w:tcPr>
            <w:tcW w:w="1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925195" cy="175260"/>
                      <wp:effectExtent l="0" t="0" r="0" b="0"/>
                      <wp:wrapNone/>
                      <wp:docPr id="39" name="Frame39"/>
                      <a:graphic xmlns:a="http://schemas.openxmlformats.org/drawingml/2006/main">
                        <a:graphicData uri="http://schemas.microsoft.com/office/word/2010/wordprocessingShape">
                          <wps:wsp>
                            <wps:cNvSpPr txBox="1"/>
                            <wps:spPr>
                              <a:xfrm>
                                <a:off x="0" y="0"/>
                                <a:ext cx="925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82295" cy="175260"/>
                      <wp:effectExtent l="0" t="0" r="0" b="0"/>
                      <wp:wrapNone/>
                      <wp:docPr id="41" name="Frame41"/>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4460" cy="175260"/>
                      <wp:effectExtent l="0" t="0" r="0" b="0"/>
                      <wp:wrapNone/>
                      <wp:docPr id="43" name="Frame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24485" cy="175260"/>
                      <wp:effectExtent l="0" t="0" r="0" b="0"/>
                      <wp:wrapNone/>
                      <wp:docPr id="44" name="Frame4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81660" cy="175260"/>
                      <wp:effectExtent l="0" t="0" r="0" b="0"/>
                      <wp:wrapNone/>
                      <wp:docPr id="47" name="Frame4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65150" cy="175260"/>
                      <wp:effectExtent l="0" t="0" r="0" b="0"/>
                      <wp:wrapNone/>
                      <wp:docPr id="50" name="Frame50"/>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22300" cy="175260"/>
                      <wp:effectExtent l="0" t="0" r="0" b="0"/>
                      <wp:wrapNone/>
                      <wp:docPr id="53" name="Frame53"/>
                      <a:graphic xmlns:a="http://schemas.openxmlformats.org/drawingml/2006/main">
                        <a:graphicData uri="http://schemas.microsoft.com/office/word/2010/wordprocessingShape">
                          <wps:wsp>
                            <wps:cNvSpPr txBox="1"/>
                            <wps:spPr>
                              <a:xfrm>
                                <a:off x="0" y="0"/>
                                <a:ext cx="622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24460" cy="175260"/>
                      <wp:effectExtent l="0" t="0" r="0" b="0"/>
                      <wp:wrapNone/>
                      <wp:docPr id="55" name="Frame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52780" cy="175260"/>
                      <wp:effectExtent l="0" t="0" r="0" b="0"/>
                      <wp:wrapNone/>
                      <wp:docPr id="56" name="Frame56"/>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5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970"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89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98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22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5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1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Number of </w:t>
            </w:r>
          </w:p>
        </w:tc>
        <w:tc>
          <w:tcPr>
            <w:tcW w:w="346" w:type="dxa"/>
            <w:tcBorders/>
            <w:vAlign w:val="center"/>
          </w:tcPr>
          <w:p>
            <w:pPr>
              <w:pStyle w:val="TableContents"/>
              <w:bidi w:val="0"/>
              <w:spacing w:before="0" w:after="1"/>
              <w:ind w:left="0" w:right="0" w:hanging="0"/>
              <w:jc w:val="center"/>
              <w:rPr/>
            </w:pPr>
            <w:r>
              <w:rPr/>
              <w:t>​</w:t>
            </w:r>
          </w:p>
        </w:tc>
        <w:tc>
          <w:tcPr>
            <w:tcW w:w="70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center"/>
              <w:rPr/>
            </w:pPr>
            <w:r>
              <w:rPr/>
              <w:t>​</w:t>
            </w:r>
          </w:p>
        </w:tc>
        <w:tc>
          <w:tcPr>
            <w:tcW w:w="12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Obligation to </w:t>
            </w:r>
          </w:p>
        </w:tc>
        <w:tc>
          <w:tcPr>
            <w:tcW w:w="346" w:type="dxa"/>
            <w:tcBorders/>
            <w:vAlign w:val="center"/>
          </w:tcPr>
          <w:p>
            <w:pPr>
              <w:pStyle w:val="TableContents"/>
              <w:bidi w:val="0"/>
              <w:spacing w:before="0" w:after="1"/>
              <w:ind w:left="0" w:right="0" w:hanging="0"/>
              <w:jc w:val="center"/>
              <w:rPr/>
            </w:pPr>
            <w:r>
              <w:rPr/>
              <w:t>​</w:t>
            </w:r>
          </w:p>
        </w:tc>
        <w:tc>
          <w:tcPr>
            <w:tcW w:w="13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46" w:type="dxa"/>
            <w:tcBorders/>
            <w:vAlign w:val="center"/>
          </w:tcPr>
          <w:p>
            <w:pPr>
              <w:pStyle w:val="TableContents"/>
              <w:bidi w:val="0"/>
              <w:spacing w:before="0" w:after="1"/>
              <w:ind w:left="0" w:right="0" w:hanging="0"/>
              <w:jc w:val="center"/>
              <w:rPr/>
            </w:pPr>
            <w:r>
              <w:rPr/>
              <w:t>​</w:t>
            </w:r>
          </w:p>
        </w:tc>
        <w:tc>
          <w:tcPr>
            <w:tcW w:w="122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45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17"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Shares</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center"/>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46" w:type="dxa"/>
            <w:tcBorders/>
            <w:vAlign w:val="center"/>
          </w:tcPr>
          <w:p>
            <w:pPr>
              <w:pStyle w:val="TableContents"/>
              <w:bidi w:val="0"/>
              <w:spacing w:before="0" w:after="1"/>
              <w:ind w:left="0" w:right="0" w:hanging="0"/>
              <w:jc w:val="center"/>
              <w:rPr/>
            </w:pPr>
            <w:r>
              <w:rPr/>
              <w:t>  ​ ​ ​</w:t>
            </w:r>
          </w:p>
        </w:tc>
        <w:tc>
          <w:tcPr>
            <w:tcW w:w="12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Issue Shares</w:t>
            </w:r>
          </w:p>
        </w:tc>
        <w:tc>
          <w:tcPr>
            <w:tcW w:w="346" w:type="dxa"/>
            <w:tcBorders/>
            <w:vAlign w:val="center"/>
          </w:tcPr>
          <w:p>
            <w:pPr>
              <w:pStyle w:val="TableContents"/>
              <w:bidi w:val="0"/>
              <w:spacing w:before="0" w:after="1"/>
              <w:ind w:left="0" w:right="0" w:hanging="0"/>
              <w:jc w:val="center"/>
              <w:rPr/>
            </w:pPr>
            <w:r>
              <w:rPr/>
              <w:t>  ​ ​ ​</w:t>
            </w:r>
          </w:p>
        </w:tc>
        <w:tc>
          <w:tcPr>
            <w:tcW w:w="13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center"/>
              <w:rPr/>
            </w:pPr>
            <w:r>
              <w:rPr/>
              <w:t>  ​ ​ ​</w:t>
            </w:r>
          </w:p>
        </w:tc>
        <w:tc>
          <w:tcPr>
            <w:tcW w:w="12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1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February 28, 2025</w:t>
            </w:r>
          </w:p>
        </w:tc>
        <w:tc>
          <w:tcPr>
            <w:tcW w:w="346" w:type="dxa"/>
            <w:tcBorders/>
            <w:shd w:fill="CCEEFF" w:val="clear"/>
            <w:vAlign w:val="center"/>
          </w:tcPr>
          <w:p>
            <w:pPr>
              <w:pStyle w:val="TableContents"/>
              <w:bidi w:val="0"/>
              <w:spacing w:before="0" w:after="1"/>
              <w:ind w:left="0" w:right="0" w:hanging="0"/>
              <w:jc w:val="center"/>
              <w:rPr/>
            </w:pPr>
            <w:r>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16,816,111</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1,681</w:t>
            </w:r>
          </w:p>
        </w:tc>
        <w:tc>
          <w:tcPr>
            <w:tcW w:w="34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1,483,144</w:t>
            </w:r>
          </w:p>
        </w:tc>
        <w:tc>
          <w:tcPr>
            <w:tcW w:w="34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1,350,470</w:t>
            </w:r>
          </w:p>
        </w:tc>
        <w:tc>
          <w:tcPr>
            <w:tcW w:w="34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(1,687,052)</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1,148,243</w:t>
            </w:r>
          </w:p>
        </w:tc>
      </w:tr>
      <w:tr>
        <w:trPr/>
        <w:tc>
          <w:tcPr>
            <w:tcW w:w="1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shares</w:t>
            </w:r>
          </w:p>
        </w:tc>
        <w:tc>
          <w:tcPr>
            <w:tcW w:w="346" w:type="dxa"/>
            <w:tcBorders/>
            <w:vAlign w:val="center"/>
          </w:tcPr>
          <w:p>
            <w:pPr>
              <w:pStyle w:val="TableContents"/>
              <w:bidi w:val="0"/>
              <w:spacing w:before="0" w:after="1"/>
              <w:ind w:left="0" w:right="0" w:hanging="0"/>
              <w:jc w:val="center"/>
              <w:rPr/>
            </w:pPr>
            <w:r>
              <w:rPr/>
              <w:t>​</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1,940,076</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6,905,124</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9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(1,350,897)</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8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5,554,422</w:t>
            </w:r>
          </w:p>
        </w:tc>
      </w:tr>
      <w:tr>
        <w:trPr/>
        <w:tc>
          <w:tcPr>
            <w:tcW w:w="1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shares to consultants</w:t>
            </w:r>
          </w:p>
        </w:tc>
        <w:tc>
          <w:tcPr>
            <w:tcW w:w="346"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34,276</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121,997</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8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98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122,000</w:t>
            </w:r>
          </w:p>
        </w:tc>
      </w:tr>
      <w:tr>
        <w:trPr/>
        <w:tc>
          <w:tcPr>
            <w:tcW w:w="1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 issuance costs</w:t>
            </w:r>
          </w:p>
        </w:tc>
        <w:tc>
          <w:tcPr>
            <w:tcW w:w="346"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97,826</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34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(539,688)</w:t>
            </w:r>
          </w:p>
        </w:tc>
        <w:tc>
          <w:tcPr>
            <w:tcW w:w="34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8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98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(539,678)</w:t>
            </w:r>
          </w:p>
        </w:tc>
      </w:tr>
      <w:tr>
        <w:trPr/>
        <w:tc>
          <w:tcPr>
            <w:tcW w:w="1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before="0" w:after="1"/>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(1,025,106)</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(1,025,106)</w:t>
            </w:r>
          </w:p>
        </w:tc>
      </w:tr>
      <w:tr>
        <w:trPr/>
        <w:tc>
          <w:tcPr>
            <w:tcW w:w="1457"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May 31, 2025</w:t>
            </w:r>
          </w:p>
        </w:tc>
        <w:tc>
          <w:tcPr>
            <w:tcW w:w="346" w:type="dxa"/>
            <w:tcBorders/>
            <w:vAlign w:val="center"/>
          </w:tcPr>
          <w:p>
            <w:pPr>
              <w:pStyle w:val="TableContents"/>
              <w:bidi w:val="0"/>
              <w:spacing w:before="0" w:after="1"/>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18,888,289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1,889</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7,970,577</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(427)</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(2,712,158)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5,259,881</w:t>
            </w:r>
          </w:p>
        </w:tc>
      </w:tr>
      <w:tr>
        <w:trPr/>
        <w:tc>
          <w:tcPr>
            <w:tcW w:w="145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9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8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left"/>
              <w:rPr/>
            </w:pPr>
            <w:r>
              <w:rPr/>
              <w:t>​</w:t>
            </w:r>
          </w:p>
        </w:tc>
      </w:tr>
      <w:tr>
        <w:trPr/>
        <w:tc>
          <w:tcPr>
            <w:tcW w:w="1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February 28, 2026</w:t>
            </w:r>
          </w:p>
        </w:tc>
        <w:tc>
          <w:tcPr>
            <w:tcW w:w="346"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29,579,313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2,958</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22,209,619</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(7,785,119)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14,427,458</w:t>
            </w:r>
          </w:p>
        </w:tc>
      </w:tr>
      <w:tr>
        <w:trPr/>
        <w:tc>
          <w:tcPr>
            <w:tcW w:w="1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Conversion of redeemable common stock</w:t>
            </w:r>
          </w:p>
        </w:tc>
        <w:tc>
          <w:tcPr>
            <w:tcW w:w="346"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8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pPr>
            <w:r>
              <w:rPr/>
              <w:t>—</w:t>
            </w:r>
          </w:p>
        </w:tc>
      </w:tr>
      <w:tr>
        <w:trPr/>
        <w:tc>
          <w:tcPr>
            <w:tcW w:w="1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Reverse recapitalization</w:t>
            </w:r>
          </w:p>
        </w:tc>
        <w:tc>
          <w:tcPr>
            <w:tcW w:w="346"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8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8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pPr>
            <w:r>
              <w:rPr/>
              <w:t>—</w:t>
            </w:r>
          </w:p>
        </w:tc>
      </w:tr>
      <w:tr>
        <w:trPr/>
        <w:tc>
          <w:tcPr>
            <w:tcW w:w="1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shares for acquisition of Oregon Energy LLC</w:t>
            </w:r>
          </w:p>
        </w:tc>
        <w:tc>
          <w:tcPr>
            <w:tcW w:w="346"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8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pPr>
            <w:r>
              <w:rPr/>
              <w:t>—</w:t>
            </w:r>
          </w:p>
        </w:tc>
      </w:tr>
      <w:tr>
        <w:trPr/>
        <w:tc>
          <w:tcPr>
            <w:tcW w:w="1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mezzanine equity</w:t>
            </w:r>
          </w:p>
        </w:tc>
        <w:tc>
          <w:tcPr>
            <w:tcW w:w="346"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(195,596)</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8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8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(195,596)</w:t>
            </w:r>
          </w:p>
        </w:tc>
      </w:tr>
      <w:tr>
        <w:trPr/>
        <w:tc>
          <w:tcPr>
            <w:tcW w:w="1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Correction of share issuance</w:t>
            </w:r>
          </w:p>
        </w:tc>
        <w:tc>
          <w:tcPr>
            <w:tcW w:w="346"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8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pPr>
            <w:r>
              <w:rPr/>
              <w:t>—</w:t>
            </w:r>
          </w:p>
        </w:tc>
      </w:tr>
      <w:tr>
        <w:trPr/>
        <w:tc>
          <w:tcPr>
            <w:tcW w:w="1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issued for warrant exercises</w:t>
            </w:r>
          </w:p>
        </w:tc>
        <w:tc>
          <w:tcPr>
            <w:tcW w:w="346"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2,300</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8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8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2,300</w:t>
            </w:r>
          </w:p>
        </w:tc>
      </w:tr>
      <w:tr>
        <w:trPr/>
        <w:tc>
          <w:tcPr>
            <w:tcW w:w="1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 based compensation - Options</w:t>
            </w:r>
          </w:p>
        </w:tc>
        <w:tc>
          <w:tcPr>
            <w:tcW w:w="346"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2,308,868</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9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8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2,308,868</w:t>
            </w:r>
          </w:p>
        </w:tc>
      </w:tr>
      <w:tr>
        <w:trPr/>
        <w:tc>
          <w:tcPr>
            <w:tcW w:w="14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 based compensation - RSUs</w:t>
            </w:r>
          </w:p>
        </w:tc>
        <w:tc>
          <w:tcPr>
            <w:tcW w:w="346"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2,287,304</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8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8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2,287,304</w:t>
            </w:r>
          </w:p>
        </w:tc>
      </w:tr>
      <w:tr>
        <w:trPr/>
        <w:tc>
          <w:tcPr>
            <w:tcW w:w="14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 attributable to common stockholders</w:t>
            </w:r>
          </w:p>
        </w:tc>
        <w:tc>
          <w:tcPr>
            <w:tcW w:w="346" w:type="dxa"/>
            <w:tcBorders/>
            <w:shd w:fill="CCEEFF" w:val="clear"/>
            <w:vAlign w:val="center"/>
          </w:tcPr>
          <w:p>
            <w:pPr>
              <w:pStyle w:val="TableContents"/>
              <w:bidi w:val="0"/>
              <w:spacing w:before="0" w:after="1"/>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(25,810,550)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(25,810,550)</w:t>
            </w:r>
          </w:p>
        </w:tc>
      </w:tr>
      <w:tr>
        <w:trPr/>
        <w:tc>
          <w:tcPr>
            <w:tcW w:w="1457"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May 31, 2026</w:t>
            </w:r>
          </w:p>
        </w:tc>
        <w:tc>
          <w:tcPr>
            <w:tcW w:w="346" w:type="dxa"/>
            <w:tcBorders/>
            <w:vAlign w:val="center"/>
          </w:tcPr>
          <w:p>
            <w:pPr>
              <w:pStyle w:val="TableContents"/>
              <w:bidi w:val="0"/>
              <w:spacing w:before="0" w:after="1"/>
              <w:ind w:left="0" w:right="0" w:hanging="0"/>
              <w:jc w:val="left"/>
              <w:rPr/>
            </w:pPr>
            <w:r>
              <w:rPr/>
              <w:t> </w:t>
            </w:r>
          </w:p>
        </w:tc>
        <w:tc>
          <w:tcPr>
            <w:tcW w:w="91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29,579,798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2,958</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26,612,495</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9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(33,595,669)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(6,980,216)</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shares of the Company’s common stock, prior to the de-SPAC (as defined in Note 1) have been retroactively restated to reflect the exchange ratio of approximately 5.8349:1 established in the de-SPAC, as described in Note 4.</w:t>
            </w:r>
          </w:p>
        </w:tc>
      </w:tr>
    </w:tbl>
    <w:p>
      <w:pPr>
        <w:pStyle w:val="TextBody"/>
        <w:bidi w:val="0"/>
        <w:spacing w:before="0" w:after="240"/>
        <w:ind w:left="72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interim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691" w:name="_66a2e3a9_27a6_4644_b446_fbc9ddaf6140"/>
      <w:bookmarkEnd w:id="691"/>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bookmarkStart w:id="692" w:name="cashflow"/>
      <w:bookmarkStart w:id="693" w:name="CONDENSEDCONSOLIDATEDINTERIMSTATEMENTSOF"/>
      <w:bookmarkEnd w:id="692"/>
      <w:bookmarkEnd w:id="693"/>
      <w:r>
        <w:rPr>
          <w:rFonts w:ascii="Times New Roman;Times;serif" w:hAnsi="Times New Roman;Times;serif"/>
          <w:b/>
          <w:sz w:val="20"/>
        </w:rPr>
        <w:t>CONDENSED CONSOLIDATED INTERIM STATEMENTS OF CASH FLOWS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SIX MONTHS ENDED MAY 31, 2026 AND 2025 (UNAUDITED)</w:t>
      </w:r>
    </w:p>
    <w:p>
      <w:pPr>
        <w:pStyle w:val="Normal"/>
        <w:bidi w:val="0"/>
        <w:spacing w:before="0" w:after="0"/>
        <w:jc w:val="left"/>
        <w:rPr>
          <w:sz w:val="4"/>
          <w:szCs w:val="4"/>
        </w:rPr>
      </w:pPr>
      <w:r>
        <w:rPr>
          <w:sz w:val="4"/>
          <w:szCs w:val="4"/>
        </w:rPr>
      </w:r>
      <w:bookmarkStart w:id="694" w:name="Tc_2fnwGtzzIE2n5pFll43oJQ_54_5"/>
      <w:bookmarkStart w:id="695" w:name="Tc_bndBlV7hS0eiPQduu8xW7w_54_3"/>
      <w:bookmarkStart w:id="696" w:name="Tc_Bue3ot3sKkOiLoMSfZ65gg_54_2"/>
      <w:bookmarkStart w:id="697" w:name="Tc_Y86vxIeyLEmbfB9GYotfTQ_54_0"/>
      <w:bookmarkStart w:id="698" w:name="Tc_2kq2XxhTzk2SMlbg0taV9A_53_5"/>
      <w:bookmarkStart w:id="699" w:name="Tc_gPMYjNVDt0mOctiRT6-uhw_53_3"/>
      <w:bookmarkStart w:id="700" w:name="Tc_Rrj7jvpbyUiiMTqojlhu-w_53_2"/>
      <w:bookmarkStart w:id="701" w:name="Tc_ZW1ruliw4E-1lqFlTuWhWQ_53_0"/>
      <w:bookmarkStart w:id="702" w:name="Tc_jzZY_tCRQ0So1PJRvty8bw_52_6"/>
      <w:bookmarkStart w:id="703" w:name="Tc_o7TZ982CJ0ag29SzQjtCSA_52_5"/>
      <w:bookmarkStart w:id="704" w:name="Tc_Dq4jvW6ILkK9nOOh5amSNQ_52_2"/>
      <w:bookmarkStart w:id="705" w:name="Tc_pj7Z6RayXUiuNin2dCSA7A_52_0"/>
      <w:bookmarkStart w:id="706" w:name="Tc_EOyu0CIgIkO_Zs8SFT1XtQ_51_6"/>
      <w:bookmarkStart w:id="707" w:name="Tc_GvHXvfrSaku67xB2-atXfQ_51_5"/>
      <w:bookmarkStart w:id="708" w:name="Tc_z4kdIZg6g0mYeQ4uxwo24w_51_2"/>
      <w:bookmarkStart w:id="709" w:name="Tc_7IjA4sUD7kG5WNJqbBmv2Q_51_0"/>
      <w:bookmarkStart w:id="710" w:name="Tc_VlO9dFZC0EqMvf8Ym6GvwQ_50_6"/>
      <w:bookmarkStart w:id="711" w:name="Tc_uuKs8BJNNEeoRpWTOztsiQ_50_5"/>
      <w:bookmarkStart w:id="712" w:name="Tc_0cCsTkeXlkGpZwywmSri_Q_50_2"/>
      <w:bookmarkStart w:id="713" w:name="Tc_A_-PqteDxUm-JWxyV0qY6w_50_0"/>
      <w:bookmarkStart w:id="714" w:name="Tc_SZojruOErkWK4extycDeXw_49_6"/>
      <w:bookmarkStart w:id="715" w:name="Tc_8Lim374YXU6m5ukD1CyJmg_49_5"/>
      <w:bookmarkStart w:id="716" w:name="Tc_827_TVihlkep2g2Gmi2YUA_49_2"/>
      <w:bookmarkStart w:id="717" w:name="Tc_LaYmAQz_tEO250akUz32ew_49_0"/>
      <w:bookmarkStart w:id="718" w:name="Tc_7LvXGvx6_UOLxeQeq1sU_w_48_6"/>
      <w:bookmarkStart w:id="719" w:name="Tc_c_M_Jt9I10Wk_rdtUIg0FA_48_5"/>
      <w:bookmarkStart w:id="720" w:name="Tc_jCtlDGZiH0KY35GVdVOt9g_48_2"/>
      <w:bookmarkStart w:id="721" w:name="Tc_SQYygI6m1k6CM-wBtq-aRA_48_0"/>
      <w:bookmarkStart w:id="722" w:name="Tc_b5x_FWwrsUyaQb6jbDp4TA_47_5"/>
      <w:bookmarkStart w:id="723" w:name="Tc_9zXu3cL-hky7dOy0jcOSJw_47_2"/>
      <w:bookmarkStart w:id="724" w:name="Tc_-Sytu5oVz0KBCzmXqRmi9w_47_0"/>
      <w:bookmarkStart w:id="725" w:name="Tc_PWZk9I-WkUOWBDnFAC7IeQ_46_5"/>
      <w:bookmarkStart w:id="726" w:name="Tc_-98IQ_qWkUCnkKCVEB-M0w_46_3"/>
      <w:bookmarkStart w:id="727" w:name="Tc_oevL8j8KP0eSfiQR63WAfw_46_2"/>
      <w:bookmarkStart w:id="728" w:name="Tc_2H_8WwlgJEmfV6OyPmxR9w_46_0"/>
      <w:bookmarkStart w:id="729" w:name="Tc_K2c6whcYRkKHIDFqABMlvA_45_0"/>
      <w:bookmarkStart w:id="730" w:name="Tc_aHr6F1tkvESJfgegTbIqmw_43_5"/>
      <w:bookmarkStart w:id="731" w:name="Tc_yBGX1dXt3kmkE93Qx7SL2w_43_2"/>
      <w:bookmarkStart w:id="732" w:name="Tc_y0CMb-7v_Uq7ee7lngSU7w_43_0"/>
      <w:bookmarkStart w:id="733" w:name="Tc_w7N-6faajUirasG3-Jm8eA_42_6"/>
      <w:bookmarkStart w:id="734" w:name="Tc_yo_dR4lBvUOj-xH41iAnSA_42_0"/>
      <w:bookmarkStart w:id="735" w:name="Tc_TsrZpPAZBEWJOR7qtz4Anw_41_5"/>
      <w:bookmarkStart w:id="736" w:name="Tc_5dIfN8_mok2ryNfEl7w1RA_41_2"/>
      <w:bookmarkStart w:id="737" w:name="Tc_N7Ya-xFhFUCYr9P3oiPMCw_41_0"/>
      <w:bookmarkStart w:id="738" w:name="Tc_7ipP4f6XdEu5yJD1STXJtw_40_0"/>
      <w:bookmarkStart w:id="739" w:name="Tc_rrPPV1SUKkStNeTWuxDIyA_38_5"/>
      <w:bookmarkStart w:id="740" w:name="Tc_cqlIOnvCEkKGPS76GjAm6g_38_2"/>
      <w:bookmarkStart w:id="741" w:name="Tc_L4vdV1SggkutR5xdXrWOlQ_38_0"/>
      <w:bookmarkStart w:id="742" w:name="Tc_aix9LYhRSECwyGMi1WvoNQ_37_0"/>
      <w:bookmarkStart w:id="743" w:name="Tc_CWNQBwx-A0-ddJqqAoStCQ_36_0"/>
      <w:bookmarkStart w:id="744" w:name="Tc_Gy5gRnr9akGSGx_0H1dl4w_34_6"/>
      <w:bookmarkStart w:id="745" w:name="Tc_6xMfHSwPG0SFIQ00HVEq7g_34_0"/>
      <w:bookmarkStart w:id="746" w:name="Tc_JaWWmo4ssU2RFUdUNnBFww_32_0"/>
      <w:bookmarkStart w:id="747" w:name="Tc_MsifintDxEqhKtQt7KLyJg_31_6"/>
      <w:bookmarkStart w:id="748" w:name="Tc_ZfZXZM4sK0W-H7bxZQ9HGw_31_0"/>
      <w:bookmarkStart w:id="749" w:name="Tc_mNR8yT-IMk6Ion7qbbUHaw_30_6"/>
      <w:bookmarkStart w:id="750" w:name="Tc_1I6wNMiCkUiiZXOzDQFvBw_30_0"/>
      <w:bookmarkStart w:id="751" w:name="Tc_q0E79s0ChUC9SPLdAL_HnA_29_6"/>
      <w:bookmarkStart w:id="752" w:name="Tc_mFIM0KGBNEqJGe-WN7jVfQ_29_0"/>
      <w:bookmarkStart w:id="753" w:name="Tc_n4UEHpJNUEmRoSQmVXPcdw_28_3"/>
      <w:bookmarkStart w:id="754" w:name="Tc_ZShj8Nldnkqi2830py03oA_28_0"/>
      <w:bookmarkStart w:id="755" w:name="Tc_XAO2ebvI4EWqGktdtn_jSA_27_0"/>
      <w:bookmarkStart w:id="756" w:name="Tc_X28F1leIUkCcuMFk1NHfQg_25_0"/>
      <w:bookmarkStart w:id="757" w:name="Tc_ZFgc-txSLU-MlzV3IbB5RA_24_6"/>
      <w:bookmarkStart w:id="758" w:name="Tc_s819YpMPjU2nPvjrb55qFA_24_0"/>
      <w:bookmarkStart w:id="759" w:name="Tc_R7g99zdlHU23hk9QZcplDQ_23_0"/>
      <w:bookmarkStart w:id="760" w:name="Tc_w5bO27E6JUiYiIq2nUVXuw_22_6"/>
      <w:bookmarkStart w:id="761" w:name="Tc_087tFNG5gk2tb_jefH5imQ_22_0"/>
      <w:bookmarkStart w:id="762" w:name="Tc_tlLEb4VvgUWLTpf0V2-pJA_21_6"/>
      <w:bookmarkStart w:id="763" w:name="Tc_B4DjjIGQl0KSg4s1coPCEQ_21_0"/>
      <w:bookmarkStart w:id="764" w:name="Tc_G__oMb2DuUKtiJj8jxTEZQ_20_0"/>
      <w:bookmarkStart w:id="765" w:name="Tc_O6L6pUsNhEa7V-V7owl7eA_18_0"/>
      <w:bookmarkStart w:id="766" w:name="Tc_edprxL3J9UCmTs82_QzxIQ_17_0"/>
      <w:bookmarkStart w:id="767" w:name="Tc_EDS_0QrpJEGQUuWW_QG1vQ_16_0"/>
      <w:bookmarkStart w:id="768" w:name="Tc_6GHsRboWm0aah1UxMc9dyQ_15_0"/>
      <w:bookmarkStart w:id="769" w:name="Tc_v3SkslvBtkC4L4O4sLI-VA_14_0"/>
      <w:bookmarkStart w:id="770" w:name="Tc_SovnADWsRk-kzPOJFzKRRQ_12_6"/>
      <w:bookmarkStart w:id="771" w:name="Tc_QOYd1q1XIU2nCRet9IOdBA_12_0"/>
      <w:bookmarkStart w:id="772" w:name="Tc_ew2uxinNBUmIn4NwfT9ruw_11_6"/>
      <w:bookmarkStart w:id="773" w:name="Tc_3WI6_WSAnUKIb49k5jGz5g_11_0"/>
      <w:bookmarkStart w:id="774" w:name="Tc_JxaAUYMQwUKowMmdmg98VA_10_3"/>
      <w:bookmarkStart w:id="775" w:name="Tc_v1aFUZGSDEyeoV7_7RzTGw_10_0"/>
      <w:bookmarkStart w:id="776" w:name="Tc_zQQgPzTVnE6OoKBnQPcrMw_9_6"/>
      <w:bookmarkStart w:id="777" w:name="Tc_BW7VuAb_JkukRfM64igkaw_9_0"/>
      <w:bookmarkStart w:id="778" w:name="Tc_huqVFBDLhkegQnfhdLUifA_8_6"/>
      <w:bookmarkStart w:id="779" w:name="Tc_9EhLHpxNT0S8KnTWVv4fzg_8_0"/>
      <w:bookmarkStart w:id="780" w:name="Tc_bsfmhdo6E06W0WLDq9mcOg_7_6"/>
      <w:bookmarkStart w:id="781" w:name="Tc_9A8rVs2NfE2IiqVJJjd-MA_7_0"/>
      <w:bookmarkStart w:id="782" w:name="Tc_Wpo0vS8TxkWA3xN1sr0XFw_6_6"/>
      <w:bookmarkStart w:id="783" w:name="Tc_0i5RzyLtQECkJyQjekVC6Q_6_0"/>
      <w:bookmarkStart w:id="784" w:name="Tc_RBlsgjytC0mK4oZ1mNCvNQ_5_0"/>
      <w:bookmarkStart w:id="785" w:name="Tc_fjESaxZDwU21HPAb50urSw_4_5"/>
      <w:bookmarkStart w:id="786" w:name="Tc_Q-JyiVih2Ua5iZyigB_9Qw_4_2"/>
      <w:bookmarkStart w:id="787" w:name="Tc_Gj-MsMKVFkKMtfEqbZPu_Q_4_0"/>
      <w:bookmarkStart w:id="788" w:name="Tc_KN5yM3q7jU2Rw-IO7ko6QQ_3_0"/>
      <w:bookmarkStart w:id="789" w:name="Tc_uMShs9K8VUew3kEHSQn-Pw_2_5"/>
      <w:bookmarkStart w:id="790" w:name="Tc_QaL0ObzMv0G7yldAoGyOwQ_2_2"/>
      <w:bookmarkStart w:id="791" w:name="Tc_FwxvRIAsy0qUCRwIqI6JeA_1_5"/>
      <w:bookmarkStart w:id="792" w:name="Tc_lpZe0Ny_t0G8nAoMQzHbjA_1_2"/>
      <w:bookmarkStart w:id="793" w:name="_96c03c95_dd0f_4df5_ae09_bae264b550eb"/>
      <w:bookmarkStart w:id="794" w:name="Tc_2fnwGtzzIE2n5pFll43oJQ_54_5"/>
      <w:bookmarkStart w:id="795" w:name="Tc_bndBlV7hS0eiPQduu8xW7w_54_3"/>
      <w:bookmarkStart w:id="796" w:name="Tc_Bue3ot3sKkOiLoMSfZ65gg_54_2"/>
      <w:bookmarkStart w:id="797" w:name="Tc_Y86vxIeyLEmbfB9GYotfTQ_54_0"/>
      <w:bookmarkStart w:id="798" w:name="Tc_2kq2XxhTzk2SMlbg0taV9A_53_5"/>
      <w:bookmarkStart w:id="799" w:name="Tc_gPMYjNVDt0mOctiRT6-uhw_53_3"/>
      <w:bookmarkStart w:id="800" w:name="Tc_Rrj7jvpbyUiiMTqojlhu-w_53_2"/>
      <w:bookmarkStart w:id="801" w:name="Tc_ZW1ruliw4E-1lqFlTuWhWQ_53_0"/>
      <w:bookmarkStart w:id="802" w:name="Tc_jzZY_tCRQ0So1PJRvty8bw_52_6"/>
      <w:bookmarkStart w:id="803" w:name="Tc_o7TZ982CJ0ag29SzQjtCSA_52_5"/>
      <w:bookmarkStart w:id="804" w:name="Tc_Dq4jvW6ILkK9nOOh5amSNQ_52_2"/>
      <w:bookmarkStart w:id="805" w:name="Tc_pj7Z6RayXUiuNin2dCSA7A_52_0"/>
      <w:bookmarkStart w:id="806" w:name="Tc_EOyu0CIgIkO_Zs8SFT1XtQ_51_6"/>
      <w:bookmarkStart w:id="807" w:name="Tc_GvHXvfrSaku67xB2-atXfQ_51_5"/>
      <w:bookmarkStart w:id="808" w:name="Tc_z4kdIZg6g0mYeQ4uxwo24w_51_2"/>
      <w:bookmarkStart w:id="809" w:name="Tc_7IjA4sUD7kG5WNJqbBmv2Q_51_0"/>
      <w:bookmarkStart w:id="810" w:name="Tc_VlO9dFZC0EqMvf8Ym6GvwQ_50_6"/>
      <w:bookmarkStart w:id="811" w:name="Tc_uuKs8BJNNEeoRpWTOztsiQ_50_5"/>
      <w:bookmarkStart w:id="812" w:name="Tc_0cCsTkeXlkGpZwywmSri_Q_50_2"/>
      <w:bookmarkStart w:id="813" w:name="Tc_A_-PqteDxUm-JWxyV0qY6w_50_0"/>
      <w:bookmarkStart w:id="814" w:name="Tc_SZojruOErkWK4extycDeXw_49_6"/>
      <w:bookmarkStart w:id="815" w:name="Tc_8Lim374YXU6m5ukD1CyJmg_49_5"/>
      <w:bookmarkStart w:id="816" w:name="Tc_827_TVihlkep2g2Gmi2YUA_49_2"/>
      <w:bookmarkStart w:id="817" w:name="Tc_LaYmAQz_tEO250akUz32ew_49_0"/>
      <w:bookmarkStart w:id="818" w:name="Tc_7LvXGvx6_UOLxeQeq1sU_w_48_6"/>
      <w:bookmarkStart w:id="819" w:name="Tc_c_M_Jt9I10Wk_rdtUIg0FA_48_5"/>
      <w:bookmarkStart w:id="820" w:name="Tc_jCtlDGZiH0KY35GVdVOt9g_48_2"/>
      <w:bookmarkStart w:id="821" w:name="Tc_SQYygI6m1k6CM-wBtq-aRA_48_0"/>
      <w:bookmarkStart w:id="822" w:name="Tc_b5x_FWwrsUyaQb6jbDp4TA_47_5"/>
      <w:bookmarkStart w:id="823" w:name="Tc_9zXu3cL-hky7dOy0jcOSJw_47_2"/>
      <w:bookmarkStart w:id="824" w:name="Tc_-Sytu5oVz0KBCzmXqRmi9w_47_0"/>
      <w:bookmarkStart w:id="825" w:name="Tc_PWZk9I-WkUOWBDnFAC7IeQ_46_5"/>
      <w:bookmarkStart w:id="826" w:name="Tc_-98IQ_qWkUCnkKCVEB-M0w_46_3"/>
      <w:bookmarkStart w:id="827" w:name="Tc_oevL8j8KP0eSfiQR63WAfw_46_2"/>
      <w:bookmarkStart w:id="828" w:name="Tc_2H_8WwlgJEmfV6OyPmxR9w_46_0"/>
      <w:bookmarkStart w:id="829" w:name="Tc_K2c6whcYRkKHIDFqABMlvA_45_0"/>
      <w:bookmarkStart w:id="830" w:name="Tc_aHr6F1tkvESJfgegTbIqmw_43_5"/>
      <w:bookmarkStart w:id="831" w:name="Tc_yBGX1dXt3kmkE93Qx7SL2w_43_2"/>
      <w:bookmarkStart w:id="832" w:name="Tc_y0CMb-7v_Uq7ee7lngSU7w_43_0"/>
      <w:bookmarkStart w:id="833" w:name="Tc_w7N-6faajUirasG3-Jm8eA_42_6"/>
      <w:bookmarkStart w:id="834" w:name="Tc_yo_dR4lBvUOj-xH41iAnSA_42_0"/>
      <w:bookmarkStart w:id="835" w:name="Tc_TsrZpPAZBEWJOR7qtz4Anw_41_5"/>
      <w:bookmarkStart w:id="836" w:name="Tc_5dIfN8_mok2ryNfEl7w1RA_41_2"/>
      <w:bookmarkStart w:id="837" w:name="Tc_N7Ya-xFhFUCYr9P3oiPMCw_41_0"/>
      <w:bookmarkStart w:id="838" w:name="Tc_7ipP4f6XdEu5yJD1STXJtw_40_0"/>
      <w:bookmarkStart w:id="839" w:name="Tc_rrPPV1SUKkStNeTWuxDIyA_38_5"/>
      <w:bookmarkStart w:id="840" w:name="Tc_cqlIOnvCEkKGPS76GjAm6g_38_2"/>
      <w:bookmarkStart w:id="841" w:name="Tc_L4vdV1SggkutR5xdXrWOlQ_38_0"/>
      <w:bookmarkStart w:id="842" w:name="Tc_aix9LYhRSECwyGMi1WvoNQ_37_0"/>
      <w:bookmarkStart w:id="843" w:name="Tc_CWNQBwx-A0-ddJqqAoStCQ_36_0"/>
      <w:bookmarkStart w:id="844" w:name="Tc_Gy5gRnr9akGSGx_0H1dl4w_34_6"/>
      <w:bookmarkStart w:id="845" w:name="Tc_6xMfHSwPG0SFIQ00HVEq7g_34_0"/>
      <w:bookmarkStart w:id="846" w:name="Tc_JaWWmo4ssU2RFUdUNnBFww_32_0"/>
      <w:bookmarkStart w:id="847" w:name="Tc_MsifintDxEqhKtQt7KLyJg_31_6"/>
      <w:bookmarkStart w:id="848" w:name="Tc_ZfZXZM4sK0W-H7bxZQ9HGw_31_0"/>
      <w:bookmarkStart w:id="849" w:name="Tc_mNR8yT-IMk6Ion7qbbUHaw_30_6"/>
      <w:bookmarkStart w:id="850" w:name="Tc_1I6wNMiCkUiiZXOzDQFvBw_30_0"/>
      <w:bookmarkStart w:id="851" w:name="Tc_q0E79s0ChUC9SPLdAL_HnA_29_6"/>
      <w:bookmarkStart w:id="852" w:name="Tc_mFIM0KGBNEqJGe-WN7jVfQ_29_0"/>
      <w:bookmarkStart w:id="853" w:name="Tc_n4UEHpJNUEmRoSQmVXPcdw_28_3"/>
      <w:bookmarkStart w:id="854" w:name="Tc_ZShj8Nldnkqi2830py03oA_28_0"/>
      <w:bookmarkStart w:id="855" w:name="Tc_XAO2ebvI4EWqGktdtn_jSA_27_0"/>
      <w:bookmarkStart w:id="856" w:name="Tc_X28F1leIUkCcuMFk1NHfQg_25_0"/>
      <w:bookmarkStart w:id="857" w:name="Tc_ZFgc-txSLU-MlzV3IbB5RA_24_6"/>
      <w:bookmarkStart w:id="858" w:name="Tc_s819YpMPjU2nPvjrb55qFA_24_0"/>
      <w:bookmarkStart w:id="859" w:name="Tc_R7g99zdlHU23hk9QZcplDQ_23_0"/>
      <w:bookmarkStart w:id="860" w:name="Tc_w5bO27E6JUiYiIq2nUVXuw_22_6"/>
      <w:bookmarkStart w:id="861" w:name="Tc_087tFNG5gk2tb_jefH5imQ_22_0"/>
      <w:bookmarkStart w:id="862" w:name="Tc_tlLEb4VvgUWLTpf0V2-pJA_21_6"/>
      <w:bookmarkStart w:id="863" w:name="Tc_B4DjjIGQl0KSg4s1coPCEQ_21_0"/>
      <w:bookmarkStart w:id="864" w:name="Tc_G__oMb2DuUKtiJj8jxTEZQ_20_0"/>
      <w:bookmarkStart w:id="865" w:name="Tc_O6L6pUsNhEa7V-V7owl7eA_18_0"/>
      <w:bookmarkStart w:id="866" w:name="Tc_edprxL3J9UCmTs82_QzxIQ_17_0"/>
      <w:bookmarkStart w:id="867" w:name="Tc_EDS_0QrpJEGQUuWW_QG1vQ_16_0"/>
      <w:bookmarkStart w:id="868" w:name="Tc_6GHsRboWm0aah1UxMc9dyQ_15_0"/>
      <w:bookmarkStart w:id="869" w:name="Tc_v3SkslvBtkC4L4O4sLI-VA_14_0"/>
      <w:bookmarkStart w:id="870" w:name="Tc_SovnADWsRk-kzPOJFzKRRQ_12_6"/>
      <w:bookmarkStart w:id="871" w:name="Tc_QOYd1q1XIU2nCRet9IOdBA_12_0"/>
      <w:bookmarkStart w:id="872" w:name="Tc_ew2uxinNBUmIn4NwfT9ruw_11_6"/>
      <w:bookmarkStart w:id="873" w:name="Tc_3WI6_WSAnUKIb49k5jGz5g_11_0"/>
      <w:bookmarkStart w:id="874" w:name="Tc_JxaAUYMQwUKowMmdmg98VA_10_3"/>
      <w:bookmarkStart w:id="875" w:name="Tc_v1aFUZGSDEyeoV7_7RzTGw_10_0"/>
      <w:bookmarkStart w:id="876" w:name="Tc_zQQgPzTVnE6OoKBnQPcrMw_9_6"/>
      <w:bookmarkStart w:id="877" w:name="Tc_BW7VuAb_JkukRfM64igkaw_9_0"/>
      <w:bookmarkStart w:id="878" w:name="Tc_huqVFBDLhkegQnfhdLUifA_8_6"/>
      <w:bookmarkStart w:id="879" w:name="Tc_9EhLHpxNT0S8KnTWVv4fzg_8_0"/>
      <w:bookmarkStart w:id="880" w:name="Tc_bsfmhdo6E06W0WLDq9mcOg_7_6"/>
      <w:bookmarkStart w:id="881" w:name="Tc_9A8rVs2NfE2IiqVJJjd-MA_7_0"/>
      <w:bookmarkStart w:id="882" w:name="Tc_Wpo0vS8TxkWA3xN1sr0XFw_6_6"/>
      <w:bookmarkStart w:id="883" w:name="Tc_0i5RzyLtQECkJyQjekVC6Q_6_0"/>
      <w:bookmarkStart w:id="884" w:name="Tc_RBlsgjytC0mK4oZ1mNCvNQ_5_0"/>
      <w:bookmarkStart w:id="885" w:name="Tc_fjESaxZDwU21HPAb50urSw_4_5"/>
      <w:bookmarkStart w:id="886" w:name="Tc_Q-JyiVih2Ua5iZyigB_9Qw_4_2"/>
      <w:bookmarkStart w:id="887" w:name="Tc_Gj-MsMKVFkKMtfEqbZPu_Q_4_0"/>
      <w:bookmarkStart w:id="888" w:name="Tc_KN5yM3q7jU2Rw-IO7ko6QQ_3_0"/>
      <w:bookmarkStart w:id="889" w:name="Tc_uMShs9K8VUew3kEHSQn-Pw_2_5"/>
      <w:bookmarkStart w:id="890" w:name="Tc_QaL0ObzMv0G7yldAoGyOwQ_2_2"/>
      <w:bookmarkStart w:id="891" w:name="Tc_FwxvRIAsy0qUCRwIqI6JeA_1_5"/>
      <w:bookmarkStart w:id="892" w:name="Tc_lpZe0Ny_t0G8nAoMQzHbjA_1_2"/>
      <w:bookmarkStart w:id="893" w:name="_96c03c95_dd0f_4df5_ae09_bae264b550eb"/>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p>
    <w:tbl>
      <w:tblPr>
        <w:tblW w:w="10205" w:type="dxa"/>
        <w:jc w:val="left"/>
        <w:tblInd w:w="0" w:type="dxa"/>
        <w:tblLayout w:type="fixed"/>
        <w:tblCellMar>
          <w:top w:w="0" w:type="dxa"/>
          <w:left w:w="0" w:type="dxa"/>
          <w:bottom w:w="0" w:type="dxa"/>
          <w:right w:w="0" w:type="dxa"/>
        </w:tblCellMar>
      </w:tblPr>
      <w:tblGrid>
        <w:gridCol w:w="6366"/>
        <w:gridCol w:w="346"/>
        <w:gridCol w:w="290"/>
        <w:gridCol w:w="1260"/>
        <w:gridCol w:w="346"/>
        <w:gridCol w:w="311"/>
        <w:gridCol w:w="1286"/>
      </w:tblGrid>
      <w:tr>
        <w:trPr/>
        <w:tc>
          <w:tcPr>
            <w:tcW w:w="6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042410" cy="175260"/>
                      <wp:effectExtent l="0" t="0" r="0" b="0"/>
                      <wp:wrapNone/>
                      <wp:docPr id="57" name="Frame57"/>
                      <a:graphic xmlns:a="http://schemas.openxmlformats.org/drawingml/2006/main">
                        <a:graphicData uri="http://schemas.microsoft.com/office/word/2010/wordprocessingShape">
                          <wps:wsp>
                            <wps:cNvSpPr txBox="1"/>
                            <wps:spPr>
                              <a:xfrm>
                                <a:off x="0" y="0"/>
                                <a:ext cx="404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84150" cy="175260"/>
                      <wp:effectExtent l="0" t="0" r="0" b="0"/>
                      <wp:wrapNone/>
                      <wp:docPr id="59" name="Frame59"/>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800100" cy="175260"/>
                      <wp:effectExtent l="0" t="0" r="0" b="0"/>
                      <wp:wrapNone/>
                      <wp:docPr id="60" name="Frame60"/>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97485" cy="175260"/>
                      <wp:effectExtent l="0" t="0" r="0" b="0"/>
                      <wp:wrapNone/>
                      <wp:docPr id="62" name="Frame62"/>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816610" cy="175260"/>
                      <wp:effectExtent l="0" t="0" r="0" b="0"/>
                      <wp:wrapNone/>
                      <wp:docPr id="63" name="Frame63"/>
                      <a:graphic xmlns:a="http://schemas.openxmlformats.org/drawingml/2006/main">
                        <a:graphicData uri="http://schemas.microsoft.com/office/word/2010/wordprocessingShape">
                          <wps:wsp>
                            <wps:cNvSpPr txBox="1"/>
                            <wps:spPr>
                              <a:xfrm>
                                <a:off x="0" y="0"/>
                                <a:ext cx="81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 ​ ​</w:t>
            </w:r>
          </w:p>
        </w:tc>
        <w:tc>
          <w:tcPr>
            <w:tcW w:w="15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c>
          <w:tcPr>
            <w:tcW w:w="346" w:type="dxa"/>
            <w:tcBorders/>
            <w:vAlign w:val="center"/>
          </w:tcPr>
          <w:p>
            <w:pPr>
              <w:pStyle w:val="TableContents"/>
              <w:bidi w:val="0"/>
              <w:spacing w:before="0" w:after="0"/>
              <w:ind w:left="0" w:right="0" w:hanging="0"/>
              <w:jc w:val="right"/>
              <w:rPr/>
            </w:pPr>
            <w:r>
              <w:rPr/>
              <w:t>  ​ ​ ​</w:t>
            </w:r>
          </w:p>
        </w:tc>
        <w:tc>
          <w:tcPr>
            <w:tcW w:w="15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r>
      <w:tr>
        <w:trPr/>
        <w:tc>
          <w:tcPr>
            <w:tcW w:w="63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5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May 31, 2026</w:t>
            </w:r>
          </w:p>
        </w:tc>
        <w:tc>
          <w:tcPr>
            <w:tcW w:w="346" w:type="dxa"/>
            <w:tcBorders/>
            <w:vAlign w:val="center"/>
          </w:tcPr>
          <w:p>
            <w:pPr>
              <w:pStyle w:val="TableContents"/>
              <w:bidi w:val="0"/>
              <w:spacing w:before="0" w:after="0"/>
              <w:ind w:left="0" w:right="0" w:hanging="0"/>
              <w:jc w:val="right"/>
              <w:rPr/>
            </w:pPr>
            <w:r>
              <w:rPr/>
              <w:t>  ​ ​ ​</w:t>
            </w:r>
          </w:p>
        </w:tc>
        <w:tc>
          <w:tcPr>
            <w:tcW w:w="15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May 31, 2025</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46" w:type="dxa"/>
            <w:tcBorders/>
            <w:shd w:fill="CCEEFF" w:val="clear"/>
            <w:vAlign w:val="center"/>
          </w:tcPr>
          <w:p>
            <w:pPr>
              <w:pStyle w:val="TableContents"/>
              <w:bidi w:val="0"/>
              <w:spacing w:before="0" w:after="0"/>
              <w:ind w:left="0" w:right="0" w:hanging="0"/>
              <w:jc w:val="center"/>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26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11" w:type="dxa"/>
            <w:tcBorders/>
            <w:shd w:fill="CCEEFF" w:val="clear"/>
            <w:vAlign w:val="center"/>
          </w:tcPr>
          <w:p>
            <w:pPr>
              <w:pStyle w:val="TableContents"/>
              <w:bidi w:val="0"/>
              <w:spacing w:before="0" w:after="0"/>
              <w:ind w:left="0" w:right="0" w:hanging="0"/>
              <w:jc w:val="left"/>
              <w:rPr/>
            </w:pPr>
            <w:r>
              <w:rPr/>
              <w:t>  ​</w:t>
            </w:r>
          </w:p>
        </w:tc>
        <w:tc>
          <w:tcPr>
            <w:tcW w:w="1286" w:type="dxa"/>
            <w:tcBorders/>
            <w:shd w:fill="CCEEFF" w:val="clear"/>
            <w:vAlign w:val="center"/>
          </w:tcPr>
          <w:p>
            <w:pPr>
              <w:pStyle w:val="TableContents"/>
              <w:bidi w:val="0"/>
              <w:spacing w:before="0" w:after="0"/>
              <w:ind w:left="0" w:right="0" w:hanging="0"/>
              <w:jc w:val="center"/>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attributable to common stockholders</w:t>
            </w:r>
          </w:p>
        </w:tc>
        <w:tc>
          <w:tcPr>
            <w:tcW w:w="346" w:type="dxa"/>
            <w:tcBorders/>
            <w:vAlign w:val="center"/>
          </w:tcPr>
          <w:p>
            <w:pPr>
              <w:pStyle w:val="TableContents"/>
              <w:bidi w:val="0"/>
              <w:spacing w:before="0" w:after="0"/>
              <w:ind w:left="0" w:right="0" w:hanging="0"/>
              <w:jc w:val="center"/>
              <w:rPr/>
            </w:pPr>
            <w:r>
              <w:rPr/>
              <w:t>​</w:t>
            </w:r>
          </w:p>
        </w:tc>
        <w:tc>
          <w:tcPr>
            <w:tcW w:w="29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(27,314,980)</w:t>
            </w:r>
          </w:p>
        </w:tc>
        <w:tc>
          <w:tcPr>
            <w:tcW w:w="346" w:type="dxa"/>
            <w:tcBorders/>
            <w:vAlign w:val="center"/>
          </w:tcPr>
          <w:p>
            <w:pPr>
              <w:pStyle w:val="TableContents"/>
              <w:bidi w:val="0"/>
              <w:spacing w:before="0" w:after="0"/>
              <w:ind w:left="0" w:right="0" w:hanging="0"/>
              <w:jc w:val="center"/>
              <w:rPr/>
            </w:pPr>
            <w:r>
              <w:rPr/>
              <w:t>​</w:t>
            </w:r>
          </w:p>
        </w:tc>
        <w:tc>
          <w:tcPr>
            <w:tcW w:w="3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(1,692,101)</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loss attributable to common stockholders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pPr>
            <w:r>
              <w:rPr/>
              <w:t>  ​</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and depreciation</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8,026</w:t>
            </w:r>
          </w:p>
        </w:tc>
        <w:tc>
          <w:tcPr>
            <w:tcW w:w="3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pPr>
            <w:r>
              <w:rPr/>
              <w:t>—</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warrant liability</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17,750,724</w:t>
            </w:r>
          </w:p>
        </w:tc>
        <w:tc>
          <w:tcPr>
            <w:tcW w:w="346" w:type="dxa"/>
            <w:tcBorders/>
            <w:shd w:fill="CCEEFF" w:val="clear"/>
            <w:vAlign w:val="center"/>
          </w:tcPr>
          <w:p>
            <w:pPr>
              <w:pStyle w:val="TableContents"/>
              <w:bidi w:val="0"/>
              <w:spacing w:before="0" w:after="0"/>
              <w:ind w:left="0" w:right="0" w:hanging="0"/>
              <w:jc w:val="left"/>
              <w:rPr/>
            </w:pPr>
            <w:r>
              <w:rPr/>
              <w:t> </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foreign currency transactions</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13,592</w:t>
            </w:r>
          </w:p>
        </w:tc>
        <w:tc>
          <w:tcPr>
            <w:tcW w:w="3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pPr>
            <w:r>
              <w:rPr/>
              <w:t>—</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adjustment</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23,648</w:t>
            </w:r>
          </w:p>
        </w:tc>
        <w:tc>
          <w:tcPr>
            <w:tcW w:w="346" w:type="dxa"/>
            <w:tcBorders/>
            <w:shd w:fill="CCEEFF" w:val="clear"/>
            <w:vAlign w:val="center"/>
          </w:tcPr>
          <w:p>
            <w:pPr>
              <w:pStyle w:val="TableContents"/>
              <w:bidi w:val="0"/>
              <w:spacing w:before="0" w:after="0"/>
              <w:ind w:left="0" w:right="0" w:hanging="0"/>
              <w:jc w:val="left"/>
              <w:rPr/>
            </w:pPr>
            <w:r>
              <w:rPr/>
              <w:t> </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consulting fees</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17,874</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dividends</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781,151</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compensation</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4,596,172</w:t>
            </w:r>
          </w:p>
        </w:tc>
        <w:tc>
          <w:tcPr>
            <w:tcW w:w="346"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pPr>
            <w:r>
              <w:rPr/>
              <w:t>—</w:t>
            </w:r>
          </w:p>
        </w:tc>
      </w:tr>
      <w:tr>
        <w:trPr/>
        <w:tc>
          <w:tcPr>
            <w:tcW w:w="63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lef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pPr>
            <w:r>
              <w:rPr/>
              <w:t>  ​</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 and accrued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171,677</w:t>
            </w:r>
          </w:p>
        </w:tc>
        <w:tc>
          <w:tcPr>
            <w:tcW w:w="346" w:type="dxa"/>
            <w:tcBorders/>
            <w:shd w:fill="CCEEFF" w:val="clear"/>
            <w:vAlign w:val="center"/>
          </w:tcPr>
          <w:p>
            <w:pPr>
              <w:pStyle w:val="TableContents"/>
              <w:bidi w:val="0"/>
              <w:spacing w:before="0" w:after="0"/>
              <w:ind w:left="0" w:right="0" w:hanging="0"/>
              <w:jc w:val="left"/>
              <w:rPr/>
            </w:pPr>
            <w:r>
              <w:rPr/>
              <w:t> </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50,911</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(581,992)</w:t>
            </w:r>
          </w:p>
        </w:tc>
        <w:tc>
          <w:tcPr>
            <w:tcW w:w="3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(119,939)</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Due to related parties</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(159,895)</w:t>
            </w:r>
          </w:p>
        </w:tc>
        <w:tc>
          <w:tcPr>
            <w:tcW w:w="346" w:type="dxa"/>
            <w:tcBorders/>
            <w:shd w:fill="CCEEFF" w:val="clear"/>
            <w:vAlign w:val="center"/>
          </w:tcPr>
          <w:p>
            <w:pPr>
              <w:pStyle w:val="TableContents"/>
              <w:bidi w:val="0"/>
              <w:spacing w:before="0" w:after="0"/>
              <w:ind w:left="0" w:right="0" w:hanging="0"/>
              <w:jc w:val="left"/>
              <w:rPr/>
            </w:pPr>
            <w:r>
              <w:rPr/>
              <w:t> </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(200,998)</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operating activities</w:t>
            </w:r>
          </w:p>
        </w:tc>
        <w:tc>
          <w:tcPr>
            <w:tcW w:w="346" w:type="dxa"/>
            <w:tcBorders/>
            <w:vAlign w:val="center"/>
          </w:tcPr>
          <w:p>
            <w:pPr>
              <w:pStyle w:val="TableContents"/>
              <w:bidi w:val="0"/>
              <w:spacing w:before="0" w:after="0"/>
              <w:ind w:left="0" w:right="0" w:hanging="0"/>
              <w:jc w:val="left"/>
              <w:rPr/>
            </w:pPr>
            <w:r>
              <w:rPr/>
              <w:t> </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(4,711,877)</w:t>
            </w:r>
          </w:p>
        </w:tc>
        <w:tc>
          <w:tcPr>
            <w:tcW w:w="346" w:type="dxa"/>
            <w:tcBorders/>
            <w:vAlign w:val="center"/>
          </w:tcPr>
          <w:p>
            <w:pPr>
              <w:pStyle w:val="TableContents"/>
              <w:bidi w:val="0"/>
              <w:spacing w:before="0" w:after="0"/>
              <w:ind w:left="0" w:right="0" w:hanging="0"/>
              <w:jc w:val="left"/>
              <w:rPr/>
            </w:pPr>
            <w:r>
              <w:rPr/>
              <w:t> </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(1,944,253)</w:t>
            </w:r>
          </w:p>
        </w:tc>
      </w:tr>
      <w:tr>
        <w:trPr/>
        <w:tc>
          <w:tcPr>
            <w:tcW w:w="63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lef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pPr>
            <w:r>
              <w:rPr/>
              <w:t>  ​</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property, plant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(47,967)</w:t>
            </w:r>
          </w:p>
        </w:tc>
        <w:tc>
          <w:tcPr>
            <w:tcW w:w="346" w:type="dxa"/>
            <w:tcBorders/>
            <w:shd w:fill="CCEEFF" w:val="clear"/>
            <w:vAlign w:val="center"/>
          </w:tcPr>
          <w:p>
            <w:pPr>
              <w:pStyle w:val="TableContents"/>
              <w:bidi w:val="0"/>
              <w:spacing w:before="0" w:after="0"/>
              <w:ind w:left="0" w:right="0" w:hanging="0"/>
              <w:jc w:val="left"/>
              <w:rPr/>
            </w:pPr>
            <w:r>
              <w:rPr/>
              <w:t> </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intangible assets</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(11,925)</w:t>
            </w:r>
          </w:p>
        </w:tc>
        <w:tc>
          <w:tcPr>
            <w:tcW w:w="3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pPr>
            <w:r>
              <w:rPr/>
              <w:t>—</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Investment in mineral rights </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(18,155)</w:t>
            </w:r>
          </w:p>
        </w:tc>
        <w:tc>
          <w:tcPr>
            <w:tcW w:w="346" w:type="dxa"/>
            <w:tcBorders/>
            <w:shd w:fill="CCEEFF" w:val="clear"/>
            <w:vAlign w:val="center"/>
          </w:tcPr>
          <w:p>
            <w:pPr>
              <w:pStyle w:val="TableContents"/>
              <w:bidi w:val="0"/>
              <w:spacing w:before="0" w:after="0"/>
              <w:ind w:left="0" w:right="0" w:hanging="0"/>
              <w:jc w:val="left"/>
              <w:rPr/>
            </w:pPr>
            <w:r>
              <w:rPr/>
              <w:t> </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(600,000)</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Cash assumed on acquisition of Oregon Energy LLC </w:t>
            </w:r>
          </w:p>
        </w:tc>
        <w:tc>
          <w:tcPr>
            <w:tcW w:w="346" w:type="dxa"/>
            <w:tcBorders/>
            <w:vAlign w:val="center"/>
          </w:tcPr>
          <w:p>
            <w:pPr>
              <w:pStyle w:val="TableContents"/>
              <w:bidi w:val="0"/>
              <w:spacing w:before="0" w:after="0"/>
              <w:ind w:left="0" w:right="0" w:hanging="0"/>
              <w:jc w:val="left"/>
              <w:rPr/>
            </w:pPr>
            <w:r>
              <w:rPr/>
              <w:t> </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141,262</w:t>
            </w:r>
          </w:p>
        </w:tc>
        <w:tc>
          <w:tcPr>
            <w:tcW w:w="346" w:type="dxa"/>
            <w:tcBorders/>
            <w:vAlign w:val="center"/>
          </w:tcPr>
          <w:p>
            <w:pPr>
              <w:pStyle w:val="TableContents"/>
              <w:bidi w:val="0"/>
              <w:spacing w:before="0" w:after="0"/>
              <w:ind w:left="0" w:right="0" w:hanging="0"/>
              <w:jc w:val="left"/>
              <w:rPr/>
            </w:pPr>
            <w:r>
              <w:rPr/>
              <w:t> </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(used in) 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63,215</w:t>
            </w:r>
          </w:p>
        </w:tc>
        <w:tc>
          <w:tcPr>
            <w:tcW w:w="346" w:type="dxa"/>
            <w:tcBorders/>
            <w:shd w:fill="CCEEFF" w:val="clear"/>
            <w:vAlign w:val="center"/>
          </w:tcPr>
          <w:p>
            <w:pPr>
              <w:pStyle w:val="TableContents"/>
              <w:bidi w:val="0"/>
              <w:spacing w:before="0" w:after="0"/>
              <w:ind w:left="0" w:right="0" w:hanging="0"/>
              <w:jc w:val="left"/>
              <w:rPr/>
            </w:pPr>
            <w:r>
              <w:rPr/>
              <w:t> </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(600,000)</w:t>
            </w:r>
          </w:p>
        </w:tc>
      </w:tr>
      <w:tr>
        <w:trPr/>
        <w:tc>
          <w:tcPr>
            <w:tcW w:w="6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left"/>
              <w:rPr/>
            </w:pPr>
            <w:r>
              <w:rPr/>
              <w:t>​</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pPr>
            <w:r>
              <w:rPr/>
              <w:t>  ​</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the issuance of common stock, net of issuance costs</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7,438,301</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exercise of 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2,300</w:t>
            </w:r>
          </w:p>
        </w:tc>
        <w:tc>
          <w:tcPr>
            <w:tcW w:w="346" w:type="dxa"/>
            <w:tcBorders/>
            <w:shd w:fill="CCEEFF" w:val="clear"/>
            <w:vAlign w:val="center"/>
          </w:tcPr>
          <w:p>
            <w:pPr>
              <w:pStyle w:val="TableContents"/>
              <w:bidi w:val="0"/>
              <w:spacing w:before="0" w:after="0"/>
              <w:ind w:left="0" w:right="0" w:hanging="0"/>
              <w:jc w:val="left"/>
              <w:rPr/>
            </w:pPr>
            <w:r>
              <w:rPr/>
              <w:t> </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PIPE financing</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29,700,000</w:t>
            </w:r>
          </w:p>
        </w:tc>
        <w:tc>
          <w:tcPr>
            <w:tcW w:w="3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pPr>
            <w:r>
              <w:rPr/>
              <w:t>—</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assumed on reverse recapitalization</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1,939,457</w:t>
            </w:r>
          </w:p>
        </w:tc>
        <w:tc>
          <w:tcPr>
            <w:tcW w:w="346" w:type="dxa"/>
            <w:tcBorders/>
            <w:shd w:fill="CCEEFF" w:val="clear"/>
            <w:vAlign w:val="center"/>
          </w:tcPr>
          <w:p>
            <w:pPr>
              <w:pStyle w:val="TableContents"/>
              <w:bidi w:val="0"/>
              <w:spacing w:before="0" w:after="0"/>
              <w:ind w:left="0" w:right="0" w:hanging="0"/>
              <w:jc w:val="left"/>
              <w:rPr/>
            </w:pPr>
            <w:r>
              <w:rPr/>
              <w:t> </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financing activities</w:t>
            </w:r>
          </w:p>
        </w:tc>
        <w:tc>
          <w:tcPr>
            <w:tcW w:w="346" w:type="dxa"/>
            <w:tcBorders/>
            <w:vAlign w:val="center"/>
          </w:tcPr>
          <w:p>
            <w:pPr>
              <w:pStyle w:val="TableContents"/>
              <w:bidi w:val="0"/>
              <w:spacing w:before="0" w:after="0"/>
              <w:ind w:left="0" w:right="0" w:hanging="0"/>
              <w:jc w:val="left"/>
              <w:rPr/>
            </w:pPr>
            <w:r>
              <w:rPr/>
              <w:t> </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31,641,757</w:t>
            </w:r>
          </w:p>
        </w:tc>
        <w:tc>
          <w:tcPr>
            <w:tcW w:w="346" w:type="dxa"/>
            <w:tcBorders/>
            <w:vAlign w:val="center"/>
          </w:tcPr>
          <w:p>
            <w:pPr>
              <w:pStyle w:val="TableContents"/>
              <w:bidi w:val="0"/>
              <w:spacing w:before="0" w:after="0"/>
              <w:ind w:left="0" w:right="0" w:hanging="0"/>
              <w:jc w:val="left"/>
              <w:rPr/>
            </w:pPr>
            <w:r>
              <w:rPr/>
              <w:t> </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7,438,301</w:t>
            </w:r>
          </w:p>
        </w:tc>
      </w:tr>
      <w:tr>
        <w:trPr/>
        <w:tc>
          <w:tcPr>
            <w:tcW w:w="63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lef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Effects of foreign exchange on cash</w:t>
            </w:r>
          </w:p>
        </w:tc>
        <w:tc>
          <w:tcPr>
            <w:tcW w:w="346" w:type="dxa"/>
            <w:tcBorders/>
            <w:vAlign w:val="center"/>
          </w:tcPr>
          <w:p>
            <w:pPr>
              <w:pStyle w:val="TableContents"/>
              <w:bidi w:val="0"/>
              <w:spacing w:before="0" w:after="0"/>
              <w:ind w:left="0" w:right="0" w:hanging="0"/>
              <w:jc w:val="left"/>
              <w:rPr/>
            </w:pPr>
            <w:r>
              <w:rPr/>
              <w:t> </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(12,973)</w:t>
            </w:r>
          </w:p>
        </w:tc>
        <w:tc>
          <w:tcPr>
            <w:tcW w:w="346" w:type="dxa"/>
            <w:tcBorders/>
            <w:vAlign w:val="center"/>
          </w:tcPr>
          <w:p>
            <w:pPr>
              <w:pStyle w:val="TableContents"/>
              <w:bidi w:val="0"/>
              <w:spacing w:before="0" w:after="0"/>
              <w:ind w:left="0" w:right="0" w:hanging="0"/>
              <w:jc w:val="left"/>
              <w:rPr/>
            </w:pPr>
            <w:r>
              <w:rPr/>
              <w:t> </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3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lef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Increase in cash</w:t>
            </w:r>
          </w:p>
        </w:tc>
        <w:tc>
          <w:tcPr>
            <w:tcW w:w="3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26,980,122</w:t>
            </w:r>
          </w:p>
        </w:tc>
        <w:tc>
          <w:tcPr>
            <w:tcW w:w="3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4,894,048</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restricted cash, beginning of period</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1,301,928</w:t>
            </w:r>
          </w:p>
        </w:tc>
        <w:tc>
          <w:tcPr>
            <w:tcW w:w="346" w:type="dxa"/>
            <w:tcBorders/>
            <w:shd w:fill="CCEEFF" w:val="clear"/>
            <w:vAlign w:val="center"/>
          </w:tcPr>
          <w:p>
            <w:pPr>
              <w:pStyle w:val="TableContents"/>
              <w:bidi w:val="0"/>
              <w:spacing w:before="0" w:after="0"/>
              <w:ind w:left="0" w:right="0" w:hanging="0"/>
              <w:jc w:val="left"/>
              <w:rPr/>
            </w:pPr>
            <w:r>
              <w:rPr/>
              <w:t> </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717</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restricted cash, end of period</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2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28,282,050</w:t>
            </w:r>
          </w:p>
        </w:tc>
        <w:tc>
          <w:tcPr>
            <w:tcW w:w="346" w:type="dxa"/>
            <w:tcBorders/>
            <w:vAlign w:val="center"/>
          </w:tcPr>
          <w:p>
            <w:pPr>
              <w:pStyle w:val="TableContents"/>
              <w:bidi w:val="0"/>
              <w:spacing w:before="0" w:after="0"/>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2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4,894,765</w:t>
            </w:r>
          </w:p>
        </w:tc>
      </w:tr>
      <w:tr>
        <w:trPr/>
        <w:tc>
          <w:tcPr>
            <w:tcW w:w="63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lef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Presented as:</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26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 </w:t>
            </w:r>
          </w:p>
        </w:tc>
        <w:tc>
          <w:tcPr>
            <w:tcW w:w="1286" w:type="dxa"/>
            <w:tcBorders/>
            <w:vAlign w:val="center"/>
          </w:tcPr>
          <w:p>
            <w:pPr>
              <w:pStyle w:val="TableContents"/>
              <w:bidi w:val="0"/>
              <w:spacing w:before="0" w:after="0"/>
              <w:ind w:left="0" w:right="0" w:hanging="0"/>
              <w:jc w:val="right"/>
              <w:rPr/>
            </w:pPr>
            <w:r>
              <w:rPr/>
              <w:t>  ​</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28,091,090</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4,894,765</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190,960</w:t>
            </w:r>
          </w:p>
        </w:tc>
        <w:tc>
          <w:tcPr>
            <w:tcW w:w="346" w:type="dxa"/>
            <w:tcBorders/>
            <w:vAlign w:val="center"/>
          </w:tcPr>
          <w:p>
            <w:pPr>
              <w:pStyle w:val="TableContents"/>
              <w:bidi w:val="0"/>
              <w:spacing w:before="0" w:after="0"/>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restricted cash,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28,282,050</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2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4,894,765</w:t>
            </w:r>
          </w:p>
        </w:tc>
      </w:tr>
      <w:tr>
        <w:trPr/>
        <w:tc>
          <w:tcPr>
            <w:tcW w:w="6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pPr>
            <w:r>
              <w:rPr/>
              <w:t>​</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Supplemental disclosure of non-cash information </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Share issuance costs in accounts payable </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6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14,540</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 issuance costs settled in shares</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2,097,000</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348,194</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 issuance for acquisition of Oregon Energy LLC</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11,959,827</w:t>
            </w:r>
          </w:p>
        </w:tc>
        <w:tc>
          <w:tcPr>
            <w:tcW w:w="346" w:type="dxa"/>
            <w:tcBorders/>
            <w:vAlign w:val="center"/>
          </w:tcPr>
          <w:p>
            <w:pPr>
              <w:pStyle w:val="TableContents"/>
              <w:bidi w:val="0"/>
              <w:spacing w:before="0" w:after="0"/>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8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redeemable common stock into nonredeemable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300,000</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Reverse recapitalization</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1,991,184</w:t>
            </w:r>
          </w:p>
        </w:tc>
        <w:tc>
          <w:tcPr>
            <w:tcW w:w="346" w:type="dxa"/>
            <w:tcBorders/>
            <w:vAlign w:val="center"/>
          </w:tcPr>
          <w:p>
            <w:pPr>
              <w:pStyle w:val="TableContents"/>
              <w:bidi w:val="0"/>
              <w:spacing w:before="0" w:after="0"/>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8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of mezzanine equity</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204,076</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Additions to intangible assets in accounts payable</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20,534</w:t>
            </w:r>
          </w:p>
        </w:tc>
        <w:tc>
          <w:tcPr>
            <w:tcW w:w="346" w:type="dxa"/>
            <w:tcBorders/>
            <w:vAlign w:val="center"/>
          </w:tcPr>
          <w:p>
            <w:pPr>
              <w:pStyle w:val="TableContents"/>
              <w:bidi w:val="0"/>
              <w:spacing w:before="0" w:after="0"/>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8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63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paid by issuance of shares</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122,000</w:t>
            </w:r>
          </w:p>
        </w:tc>
      </w:tr>
      <w:tr>
        <w:trPr/>
        <w:tc>
          <w:tcPr>
            <w:tcW w:w="636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Consultant bonus settled by issuance of bonus shares</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6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183,200</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interim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left"/>
        <w:rPr>
          <w:rFonts w:ascii="Times New Roman;Times;serif" w:hAnsi="Times New Roman;Times;serif"/>
          <w:b/>
          <w:sz w:val="20"/>
        </w:rPr>
      </w:pPr>
      <w:bookmarkStart w:id="894" w:name="a1NATUREOFOPERATIONS_692654"/>
      <w:bookmarkEnd w:id="894"/>
      <w:r>
        <w:rPr>
          <w:rFonts w:ascii="Times New Roman;Times;serif" w:hAnsi="Times New Roman;Times;serif"/>
          <w:b/>
          <w:i w:val="false"/>
          <w:caps w:val="false"/>
          <w:smallCaps w:val="false"/>
          <w:sz w:val="20"/>
        </w:rPr>
        <w:t>1.</w:t>
      </w:r>
      <w:r>
        <w:rPr>
          <w:rFonts w:ascii="Times New Roman;Times;serif" w:hAnsi="Times New Roman;Times;serif"/>
          <w:b/>
          <w:sz w:val="20"/>
        </w:rPr>
        <w:t>NATURE OF OPERATIONS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Eagle Nuclear Energy Corp. (the “Company”) was incorporated on December 19, 2025, under the laws of the state of Nevada. The Company’s corporate office is located at 5470 Kietzke Lane, Suite 300, Reno, NV 89511. The Company is a next-generation nuclear energy company that seeks to combine domestic uranium exploration and development with proprietary small modular reactor (“SMR”) technology, with the intent of establishing a vertically integrated business model, combining uranium exploration, extraction, and production with the design and development of modular nuclear reactors intended to supply reliable power for industrial use and electricity grids. Through this approach, the Company aims to support energy security and meet growing demand for clean and scalable nuclear power solutions.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has not yet commenced its principal operations as of May 31, 2026.</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was incorporated as a subsidiary of Spring Valley Acquisition Corp. II (“SVII”), a special purpose acquisition corporation incorporated in the Cayman Islands, for the purpose of completing a reverse acquisition between Eagle Energy Metals Corp. (“Eagle Energy”) and SVII (Note 4), pursuant to an agreement and plan of merger (“BCA”) entered into on July 30, 2025 and as amended on September 29, 2025. On February 24, 2026, the Company, Eagle Energy, and SVII completed the reverse acquisition transaction. The transaction is also referred to as the “de-SPAC” transaction. Each of Eagle Energy and SVII became a subsidiary of the Company as part of the de-SPAC transaction. Eagle Energy is deemed as the acquirer for accounting purposes, and therefore its assets, liabilities and operations are included in the unaudited condensed consolidated interim financial statements at their historical carrying values. The Company’s operations are considered to be a continuance of the business and operations of Eagle Energy, with the Company’s operations being included beginning on February 24, 2026, the closing date of the de-SPAC transaction.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is a public company and its common stock and public warrants are listed on The Nasdaq Capital Market tier of The Nasdaq Stock Market LLC (“Nasdaq”) under the ticker symbols of “NUCL” and “NUCLW,” respectively.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24, 2026, the Company also completed the acquisition of Oregon Energy LLC (“Oregon Energy”) (Note 5), through which the Company acquired mining claims to explore and extract uranium (Aurora Uranium Project (“AUP”)) located in Malheur County, Oregon, approximately 16 kilometers northwest of McDermitt, Nevada. As of May 31, 2026, the Company holds 263 unpatented lode mining claims and 71 unpatented placer mining claims in the AUP, along with 27 unpatented placer mining claims in Humboldt County, Nevada. These claims collectively cover an area of approximately 43 square kilometers.</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Risks and Uncertainties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Disruption of global financial markets and a recession or market correction, including the ongoing military conflicts between Russia and Ukraine and the related sanctions imposed against Russia as well as the geopolitical instability in the Middle East, the significant tariffs imposed by the United States on imports from other countries and other global macroeconomic factors such as inflation and rising interest rates, could reduce the Company’s ability to access capital, which could in the future negatively affect the Company’s liquidity and could materially affect the Company’s business and the value of its common stock.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left"/>
        <w:rPr>
          <w:rFonts w:ascii="Times New Roman;Times;serif" w:hAnsi="Times New Roman;Times;serif"/>
          <w:b/>
          <w:sz w:val="20"/>
        </w:rPr>
      </w:pPr>
      <w:bookmarkStart w:id="895" w:name="Tc_0OcTUVssR0SCoqVeFv7vxw_4_5"/>
      <w:bookmarkStart w:id="896" w:name="Tc_0ihjzQ-6Ak2oPmnFFEttrQ_4_2"/>
      <w:bookmarkStart w:id="897" w:name="Tc_TU3oPYLA-0WeLK5_XBJ6qA_4_0"/>
      <w:bookmarkStart w:id="898" w:name="Tc_p_RKxTghaUahXRB4Dbatng_3_5"/>
      <w:bookmarkStart w:id="899" w:name="Tc_fNf_-yLPgU-c2LmxhM4BNw_3_2"/>
      <w:bookmarkStart w:id="900" w:name="Tc_H8j9u4FkmkWjuV_q6AGHQQ_3_0"/>
      <w:bookmarkStart w:id="901" w:name="Tc___nYMDVEnkK-eS0oX6FISg_2_5"/>
      <w:bookmarkStart w:id="902" w:name="Tc_07Lbn8pUDEG1vAzkSE_4-w_2_2"/>
      <w:bookmarkStart w:id="903" w:name="Tc_I7WQZBXaJ0mXXFMrNWGzjg_2_0"/>
      <w:bookmarkStart w:id="904" w:name="Tc__JbAL31io0eKolMV7-I1JA_1_4"/>
      <w:bookmarkStart w:id="905" w:name="Tc_if1_x71ZvUuaHC9riSS6gg_1_2"/>
      <w:bookmarkStart w:id="906" w:name="Tc_YLfoPXKJIUOQ1G9hqaYLOA_1_0"/>
      <w:bookmarkStart w:id="907" w:name="_949dd7fb_83ab_49d1_a61f_6adf49a9727e"/>
      <w:bookmarkEnd w:id="895"/>
      <w:bookmarkEnd w:id="896"/>
      <w:bookmarkEnd w:id="897"/>
      <w:bookmarkEnd w:id="898"/>
      <w:bookmarkEnd w:id="899"/>
      <w:bookmarkEnd w:id="900"/>
      <w:bookmarkEnd w:id="901"/>
      <w:bookmarkEnd w:id="902"/>
      <w:bookmarkEnd w:id="903"/>
      <w:bookmarkEnd w:id="904"/>
      <w:bookmarkEnd w:id="905"/>
      <w:bookmarkEnd w:id="906"/>
      <w:bookmarkEnd w:id="907"/>
      <w:r>
        <w:rPr>
          <w:rFonts w:ascii="Times New Roman;Times;serif" w:hAnsi="Times New Roman;Times;serif"/>
          <w:b/>
          <w:i w:val="false"/>
          <w:caps w:val="false"/>
          <w:smallCaps w:val="false"/>
          <w:sz w:val="20"/>
        </w:rPr>
        <w:t>2.</w:t>
      </w:r>
      <w:r>
        <w:rPr>
          <w:rFonts w:ascii="Times New Roman;Times;serif" w:hAnsi="Times New Roman;Times;serif"/>
          <w:b/>
          <w:sz w:val="20"/>
        </w:rPr>
        <w:t>BASIS OF PRESENTATION</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Basis of accounting</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accompanying unaudited condensed consolidated interim financial statements are presented using the accrual basis of accounting in accordance with accounting principles generally accepted in the United States of America (“U.S. GAAP”) and pursuant to the rules and regulations of the U.S. Securities and Exchange Commission (“SEC”) for financial information. References to the “ASC” hereafter refer to the Accounting Standards Codification established by the Financial Accounting Standards Board (“FASB”) as the source of authoritative U.S. GAAP.</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These unaudited condensed consolidated interim financial statements include the accounts of the Company, and its wholly-owned subsidiaries, Eagle Energy and SVII, following the reverse recapitalization as further discussed in Note 4, as well as its wholly-owned subsidiary, Oregon Energy, following the acquisition of Oregon Energy as further discussed in Note 5. For periods prior to the reverse recapitalization and acquisition of Oregon Energy, the reported share and per share amounts have been retroactively adjusted as further discussed below in this note, with the exception of authorized shares. Accompanying financial statements as of November 30, 2025, and accompanying unaudited condensed interim financial statements for the three and six months ended May 31, 2025, include only the accounts of Eagle Energy.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unaudited condensed consolidated interim financial statements for the three and six months ended May 31, 2026 reflected (i) the historical operating results of Eagle Energy prior to the de-SPAC transaction, (ii) the combined results of the Company, Eagle Energy, SVII, and Oregon Energy following the closing of the de-SPAC transaction and acquisition, (iii) the assets and liabilities of Eagle Energy at their historical costs, (iv) the assets and liabilities of the Company and SVII at their historical costs, (v) the assets and liabilities assumed from acquisition of Oregon Energy as recognized in an asset acquisition as further discussed in Note 5, and (vi) the Company’s equity structure for all periods presented.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the opinion of management, all adjustments, consisting of normal recurring adjustments, considered necessary for a fair presentation of the results of the interim periods, but are not necessarily indicative of the results of operations to be anticipated for the full year ending November 30, 2026. These unaudited condensed consolidated interim financial statements should be read in conjunction with the financial statements for the year ended November 30, 2025 and the period from December 14, 2023 (inception) through November 30, 2024, included in the proxy statement/prospectus filed pursuant to Rule 424(b)(3) of the Securities Act of 1933, as amended (File No. 333-290631) on February 2, 2026.</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previously disclosed in its financial statements for the year ended November 30, 2025 and the period from December 14, 2023 (inception) through November 30, 2024, that a material uncertainty existed that cast doubt on the Company’s ability to continue as a going concern within one year after the date of the financial statements being issued. During the six months ended May 31, 2026, as a result of the successful completion of the de-SPAC transaction (Note 4) and a PIPE financing (Note 12), the Company possesses sufficient financial resources to sustain its operations. Thus the previously disclosed material uncertainty regarding the Company’s ability to continue as a going concern has been alleviated.</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Basis of consolidation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These unaudited condensed consolidated interim financial statements include the accounts of the Company and entities controlled by the Company. Control exists when the Company has the power, directly or indirectly, to govern the financial and operating policies of an entity so as to obtain benefits from its activities. All intercompany balances and transactions, income and expenses have been eliminated upon consolidation.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May 31, 2026, the Company’s subsidiaries were:</w:t>
      </w:r>
    </w:p>
    <w:tbl>
      <w:tblPr>
        <w:tblW w:w="5601" w:type="dxa"/>
        <w:jc w:val="left"/>
        <w:tblInd w:w="0" w:type="dxa"/>
        <w:tblLayout w:type="fixed"/>
        <w:tblCellMar>
          <w:top w:w="0" w:type="dxa"/>
          <w:left w:w="0" w:type="dxa"/>
          <w:bottom w:w="0" w:type="dxa"/>
          <w:right w:w="0" w:type="dxa"/>
        </w:tblCellMar>
      </w:tblPr>
      <w:tblGrid>
        <w:gridCol w:w="1516"/>
        <w:gridCol w:w="346"/>
        <w:gridCol w:w="2191"/>
        <w:gridCol w:w="346"/>
        <w:gridCol w:w="886"/>
        <w:gridCol w:w="316"/>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962660" cy="175260"/>
                      <wp:effectExtent l="0" t="0" r="0" b="0"/>
                      <wp:wrapNone/>
                      <wp:docPr id="64" name="Frame64"/>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91285" cy="175260"/>
                      <wp:effectExtent l="0" t="0" r="0" b="0"/>
                      <wp:wrapNone/>
                      <wp:docPr id="66" name="Frame66"/>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62610" cy="175260"/>
                      <wp:effectExtent l="0" t="0" r="0" b="0"/>
                      <wp:wrapNone/>
                      <wp:docPr id="68" name="Frame6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0660" cy="175260"/>
                      <wp:effectExtent l="0" t="0" r="0" b="0"/>
                      <wp:wrapNone/>
                      <wp:docPr id="69" name="Frame6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of subsidiary</w:t>
            </w:r>
          </w:p>
        </w:tc>
        <w:tc>
          <w:tcPr>
            <w:tcW w:w="346" w:type="dxa"/>
            <w:tcBorders/>
            <w:vAlign w:val="center"/>
          </w:tcPr>
          <w:p>
            <w:pPr>
              <w:pStyle w:val="TableContents"/>
              <w:bidi w:val="0"/>
              <w:spacing w:before="0" w:after="0"/>
              <w:ind w:left="0" w:right="0" w:hanging="0"/>
              <w:jc w:val="center"/>
              <w:rPr/>
            </w:pPr>
            <w:r>
              <w:rPr/>
              <w:t>  ​ ​ ​</w:t>
            </w:r>
          </w:p>
        </w:tc>
        <w:tc>
          <w:tcPr>
            <w:tcW w:w="21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Place of incorporation</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Ownership</w:t>
            </w:r>
          </w:p>
        </w:tc>
        <w:tc>
          <w:tcPr>
            <w:tcW w:w="316" w:type="dxa"/>
            <w:tcBorders/>
            <w:vAlign w:val="center"/>
          </w:tcPr>
          <w:p>
            <w:pPr>
              <w:pStyle w:val="TableContents"/>
              <w:bidi w:val="0"/>
              <w:spacing w:before="0" w:after="0"/>
              <w:ind w:left="0" w:right="0" w:hanging="0"/>
              <w:jc w:val="left"/>
              <w:rPr/>
            </w:pPr>
            <w:r>
              <w:rPr/>
              <w:t> </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Eagle Energy</w:t>
            </w:r>
          </w:p>
        </w:tc>
        <w:tc>
          <w:tcPr>
            <w:tcW w:w="346" w:type="dxa"/>
            <w:tcBorders/>
            <w:shd w:fill="CCEEFF" w:val="clear"/>
            <w:vAlign w:val="center"/>
          </w:tcPr>
          <w:p>
            <w:pPr>
              <w:pStyle w:val="TableContents"/>
              <w:bidi w:val="0"/>
              <w:spacing w:before="0" w:after="0"/>
              <w:ind w:left="0" w:right="0" w:hanging="0"/>
              <w:jc w:val="left"/>
              <w:rPr/>
            </w:pPr>
            <w:r>
              <w:rPr/>
              <w:t> </w:t>
            </w:r>
          </w:p>
        </w:tc>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Nevada, the United States</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Oregon Energy</w:t>
            </w:r>
          </w:p>
        </w:tc>
        <w:tc>
          <w:tcPr>
            <w:tcW w:w="3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Oregon, the United States</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SVII</w:t>
            </w:r>
          </w:p>
        </w:tc>
        <w:tc>
          <w:tcPr>
            <w:tcW w:w="346" w:type="dxa"/>
            <w:tcBorders/>
            <w:shd w:fill="CCEEFF" w:val="clear"/>
            <w:vAlign w:val="center"/>
          </w:tcPr>
          <w:p>
            <w:pPr>
              <w:pStyle w:val="TableContents"/>
              <w:bidi w:val="0"/>
              <w:spacing w:before="0" w:after="0"/>
              <w:ind w:left="0" w:right="0" w:hanging="0"/>
              <w:jc w:val="left"/>
              <w:rPr/>
            </w:pPr>
            <w:r>
              <w:rPr/>
              <w:t> </w:t>
            </w:r>
          </w:p>
        </w:tc>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Cayman Islands</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Retroactive application of reverse recapitalization</w:t>
      </w:r>
    </w:p>
    <w:p>
      <w:pPr>
        <w:pStyle w:val="TextBody"/>
        <w:bidi w:val="0"/>
        <w:spacing w:before="0" w:after="240"/>
        <w:ind w:left="360" w:right="0" w:hanging="0"/>
        <w:jc w:val="both"/>
        <w:rPr>
          <w:rFonts w:ascii="Times New Roman;Times;serif" w:hAnsi="Times New Roman;Times;serif"/>
          <w:b w:val="false"/>
          <w:sz w:val="20"/>
        </w:rPr>
      </w:pPr>
      <w:r>
        <w:rPr>
          <w:rFonts w:ascii="Times New Roman;Times;serif" w:hAnsi="Times New Roman;Times;serif"/>
          <w:b w:val="false"/>
          <w:sz w:val="20"/>
        </w:rPr>
        <w:t>As further discussed in Note 4, the de-SPAC transaction on February 24, 2026 was accounted for as a recapitalization of equity structure, with Eagle Energy being deemed as the accounting acquirer. Accordingly, these unaudited condensed consolidated interim financial statements of the Company represent a continuance of the business and operations of Eagle Energy, with the de-SPAC transaction being treated as the equivalent of Eagle Energy issuing stock for the net assets of SVII and the Company, accompanied by a recapitalization.</w:t>
      </w:r>
    </w:p>
    <w:p>
      <w:pPr>
        <w:pStyle w:val="TextBody"/>
        <w:bidi w:val="0"/>
        <w:spacing w:before="0" w:after="240"/>
        <w:ind w:left="360" w:right="0" w:hanging="0"/>
        <w:jc w:val="both"/>
        <w:rPr>
          <w:rFonts w:ascii="Times New Roman;Times;serif" w:hAnsi="Times New Roman;Times;serif"/>
          <w:b w:val="false"/>
          <w:sz w:val="20"/>
        </w:rPr>
      </w:pPr>
      <w:r>
        <w:rPr>
          <w:rFonts w:ascii="Times New Roman;Times;serif" w:hAnsi="Times New Roman;Times;serif"/>
          <w:b w:val="false"/>
          <w:sz w:val="20"/>
        </w:rPr>
        <w:t>The number of shares of common stock of Eagle Energy for all periods prior to the de-SPAC transaction have been retrospectively adjusted using the exchange ratios that were established in accordance with the BCA, as further disclosed in Note 4.</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Retroactive application of reverse recapitalization to the consolidated balance sheet as of November 30, 2025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To conform to the retroactive application of the reverse recapitalization (Note 4), the common stock and redeemable common stock within the consolidated balance sheets have been retroactively converted to common stock of the Company using the exchange ratios, with common stock of the Company having par value of $0.0001. Accordingly, the Company reclassified $9,131 of common stock par value of Eagle Energy to additional paid-in capital at November 30, 2025.</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Retroactive application of reverse recapitalization to the unaudited condensed consolidated interim statements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weighted average shares during the three and six months ended May 31, 2025 have been recalculated to give effect to the retroactive application of the reverse recapitalization (Note 4) on the outstanding shares. Accordingly, the basic and diluted weighted-average number of shares outstanding of Eagle Energy common stock were retroactively converted to common stock of the Company.</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Retroactive application of reverse recapitalization to the unaudited condensed consolidated interim statements of changes in stockholders’ equity (deficit)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unaudited condensed consolidated interim statements of changes in stockholders’ equity (deficit) for the three and six months ended May 31, 2025 has been recast to reflect the number of common stock of the Company issued to Eagle Energy stockholders in connection with the reverse recapitalization (Note 4) at the par value of the common stock of the Company of $0.0001. The number of shares of Eagle Energy common stock have been recast after giving effect to the exchange ratio in connection with the reverse recapitalization, and the related impacts to common stock and additional paid-in capital for the change in par value.</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Variable interest entities (“VIE”)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 VIE is an entity that does not have sufficient equity at risk to finance its activities without additional subordinated financial support or is structured such that equity investors lack the ability to control the entity’s activities or do not substantially participate in the gains and losses of the entity. Upon inception of a contractual agreement, and thereafter, if a reconsideration event occurs, the Company performs an assessment to determine whether the arrangement contains a variable interest in an entity and whether that entity is a VIE. The primary beneficiary of a VIE is the party that has both the power to direct the activities that most significantly impact the VIE’s economic performance and the obligation to absorb losses or the right to receive benefits from the VIE that could potentially be significant to the VIE. Where the Company concludes that it is the primary beneficiary of a VIE, the Company consolidates the accounts of that VIE. As of May 31, 2026, the Company is not involved in any contractual agreements that give rise to a VIE.</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Functional and presentation currencies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unaudited condensed consolidated interim financial statements of the Company are presented in United States dollars. The functional currency of the Company is the United States dollar; however, a significant amount of the Company’s vendors and expenses have been paid in Canadian dollars and the difference between the amount paid in Canadian dollars and reported in United States dollars related to the exchange rates on the dates such payments were made has been reflected in the accompanying unaudited condensed consolidated interim statements of operations of the respective period within the account labeled loss on foreign currency transactions.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2"/>
        </w:rPr>
        <w:t>f)</w:t>
      </w:r>
      <w:r>
        <w:rPr>
          <w:rFonts w:ascii="Times New Roman;Times;serif" w:hAnsi="Times New Roman;Times;serif"/>
          <w:b/>
          <w:sz w:val="20"/>
        </w:rPr>
        <w:t>Emerging growth company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is an “Emerging Growth Company”, as defined in Section 2(a) of the Securities Act of 1933, as amended (the “Securities Act”), as modified by the Jumpstart Our Business Startups Act of 2012 (the “JOBS Act”), and it has taken advantage of certain exemptions that are not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Further, Section 102(b) (1)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reporting standards. The JOBS Act provides that a company can elect to opt out of the extended transition period and comply with the requirements that apply to non-emerging growth companies but any such election to opt out is irrevocable.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has elected not to opt out of such extended transition period which means that when a standard is issued or revised and it has different application dates for public and private companies, the Company, as an emerging growth company, can adopt the new or revised standard at the time private companies adopt the new or revised standard.</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g)</w:t>
      </w:r>
      <w:r>
        <w:rPr>
          <w:rFonts w:ascii="Times New Roman;Times;serif" w:hAnsi="Times New Roman;Times;serif"/>
          <w:b/>
          <w:sz w:val="20"/>
        </w:rPr>
        <w:t>Use of estimates and judgments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preparation of unaudited condensed consolidated interim financial statements in conformity with U.S. GAAP requires the Company’s management to make judgments, estimates and assumptions, about future events that may impact the amounts reported in the unaudited condensed consolidated interim financial statements. Actual results may differ from these estimates. Estimates and underlying assumptions are reviewed on an ongoing basis. Revisions to estimates are made prospectively.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Key estimates made by management with respect to the areas noted have been disclosed in the notes to the unaudited condensed consolidated interim financial statements.</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SUMMARY OF SIGNIFICANT ACCOUNTING POLICIES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significant accounting policies applied in the preparation of these unaudited condensed consolidated interim financial statements are consistent with the accounting policies disclosed in Note 3 of the audited financial statements for the year ended November 30, 2025 and the period from December 14, 2023 (inception) through November 30, 2024, except for adoption of new accounting policies, as described below.</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Reverse recapitalization with SVII</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While Eagle Energy was a legal acquiree in the BCA, and the Company is the legal parent of both SVII and Eagle Energy after the de-SPAC transaction, for financial accounting and reporting purposes under U.S. GAAP, Eagle Energy is the accounting acquirer and the de-SPAC transaction is accounted for as a “reverse recapitalization”.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For accounting purposes, the de-SPAC transaction was treated as the equivalent of Eagle Energy issuing stock for the net assets of SVII and the Company, accompanied by a recapitalization. The Company was determined to be a vehicle through which the reverse recapitalization is effected. The net assets of SVII and the Company are stated at historical cost, and no goodwill or other intangible assets were recorded. As Eagle Energy was deemed the accounting acquirer in the de-SPAC transaction, the Company is a continuation of the operations of Eagle Energy. The historical financial statements of Eagle Energy are the historical financial statements of the Company upon the consummation of the de-SPAC transaction.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equity structure has been retroactively restated in all comparative periods up to the consummation of the de-SPAC transaction to reflect the number of shares of the Company’s common stock, $0.0001 par value per share, issued to Eagle Energy stockholders in connection with the Business Combination. As such, the shares and corresponding capital amounts and earnings per share have been retroactively restated as shares reflecting the exchange ratios established in the de-SPAC transaction.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00"/>
        <w:ind w:left="360" w:right="0" w:hanging="0"/>
        <w:jc w:val="both"/>
        <w:rPr>
          <w:rFonts w:ascii="Times New Roman;Times;serif" w:hAnsi="Times New Roman;Times;serif"/>
          <w:b/>
          <w:sz w:val="20"/>
        </w:rPr>
      </w:pPr>
      <w:bookmarkStart w:id="908" w:name="Tc_szohOKAz0USoNUj_6G9Y7w_3_0"/>
      <w:bookmarkStart w:id="909" w:name="Tc_twLZ-bO2WkKjGH6DJnyI2w_2_0"/>
      <w:bookmarkStart w:id="910" w:name="Tc_Hc5w2cDq9ke2fon6hxEu-w_1_0"/>
      <w:bookmarkStart w:id="911" w:name="Tc_uZhg9_1hS0SDZp4oiXLXrw_0_0"/>
      <w:bookmarkEnd w:id="908"/>
      <w:bookmarkEnd w:id="909"/>
      <w:bookmarkEnd w:id="910"/>
      <w:bookmarkEnd w:id="911"/>
      <w:r>
        <w:rPr>
          <w:rFonts w:ascii="Times New Roman;Times;serif" w:hAnsi="Times New Roman;Times;serif"/>
          <w:b/>
          <w:sz w:val="20"/>
        </w:rPr>
        <w:t>Acquisition of Oregon Energy</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Oregon Energy was assessed under ASC Topic 805, Business Combinations (“ASC 805”), and did not qualify as a business because no substantive process was acquired. Accordingly, the acquisition of Oregon Energy was accounted for as an asset acquisition. Asset acquisitions are accounted for by using a cost accumulation model, with no recognition of goodwill. The purchase price was allocated to the identifiable assets acquired and liabilities assumed based on their relative fair value as of the acquisition date, excluding assets or liabilities for which the subsequent accounting under other U.S. GAAP principles would result in recognition of an immediate gain or loss.</w:t>
      </w:r>
    </w:p>
    <w:p>
      <w:pPr>
        <w:pStyle w:val="TextBody"/>
        <w:bidi w:val="0"/>
        <w:spacing w:before="0" w:after="200"/>
        <w:ind w:left="360" w:right="0" w:hanging="0"/>
        <w:jc w:val="both"/>
        <w:rPr>
          <w:rFonts w:ascii="Times New Roman;Times;serif" w:hAnsi="Times New Roman;Times;serif"/>
          <w:b/>
          <w:sz w:val="20"/>
        </w:rPr>
      </w:pPr>
      <w:r>
        <w:rPr>
          <w:rFonts w:ascii="Times New Roman;Times;serif" w:hAnsi="Times New Roman;Times;serif"/>
          <w:b/>
          <w:sz w:val="20"/>
        </w:rPr>
        <w:t>Restricted cash</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Restricted cash consists of cash balances that are legally or contractually restricted as to withdrawal or use and are not available for general operations. Such amounts are classified as current or noncurrent based on the expected timing of release. As of May 31, 2026, this includes $140,960 held as collateral for reclamation and environmental obligations (Note 6), and $50,000 held as collateral for a corporate credit card.</w:t>
      </w:r>
    </w:p>
    <w:p>
      <w:pPr>
        <w:pStyle w:val="TextBody"/>
        <w:bidi w:val="0"/>
        <w:spacing w:before="0" w:after="200"/>
        <w:ind w:left="360" w:right="0" w:hanging="0"/>
        <w:jc w:val="both"/>
        <w:rPr>
          <w:rFonts w:ascii="Times New Roman;Times;serif" w:hAnsi="Times New Roman;Times;serif"/>
          <w:b/>
          <w:sz w:val="20"/>
        </w:rPr>
      </w:pPr>
      <w:r>
        <w:rPr>
          <w:rFonts w:ascii="Times New Roman;Times;serif" w:hAnsi="Times New Roman;Times;serif"/>
          <w:b/>
          <w:sz w:val="20"/>
        </w:rPr>
        <w:t>Preferred stock dividends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Preferred stock dividends are recognized in accordance with the contractual terms of the underlying instruments. Dividends on preferred stock are recorded when declared; however, for cumulative preferred stock, dividends are accrued as they are earned, whether or not declared, if the terms require payment upon redemption or otherwise create an obligation. Such dividends are generally recorded as a reduction of retained earnings (or decrease in additional paid-in capital, if no retained earnings are available) and, where applicable, as an increase to the carrying amount of the preferred stock. Dividends payable in cash, common stock, or additional preferred shares are measured based on the fair value or contractual amount at the declaration date, depending on the nature of the arrangement. Preferred stock dividends reduce income available to common stockholders in the calculation of earnings per share.</w:t>
      </w:r>
    </w:p>
    <w:p>
      <w:pPr>
        <w:pStyle w:val="TextBody"/>
        <w:bidi w:val="0"/>
        <w:spacing w:before="0" w:after="200"/>
        <w:ind w:left="360" w:right="0" w:hanging="0"/>
        <w:jc w:val="both"/>
        <w:rPr>
          <w:rFonts w:ascii="Times New Roman;Times;serif" w:hAnsi="Times New Roman;Times;serif"/>
          <w:b/>
          <w:sz w:val="20"/>
        </w:rPr>
      </w:pPr>
      <w:r>
        <w:rPr>
          <w:rFonts w:ascii="Times New Roman;Times;serif" w:hAnsi="Times New Roman;Times;serif"/>
          <w:b/>
          <w:sz w:val="20"/>
        </w:rPr>
        <w:t>Property, plant and equipment</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Property, plant and equipment is recorded at cost, less accumulated depreciation and impairment losses. The Company provides for depreciation over the expected useful life of the assets. No depreciation is recorded on assets prior to their initial commencement of operations. Costs include expenditures to acquire or construct an asset, including the preparation of an asset to commence operations, installation, commissioning, and certification costs. Subsequent costs are capitalized, either to the asset’s carrying amount or recognized as a separate asset when it is probable that the Company will derive future economic benefits, generally from extending an asset’s life or enhancing its productive capacity. The estimated useful lives of assets are reviewed by management and adjusted if necessary. Repair and maintenance costs are charged to profit or loss during the period they are incurred.</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Depreciation is recorded using the straight-line method over the estimated useful lives of the assets as follows:</w:t>
      </w:r>
    </w:p>
    <w:p>
      <w:pPr>
        <w:pStyle w:val="TextBody"/>
        <w:bidi w:val="0"/>
        <w:spacing w:before="0" w:after="0"/>
        <w:ind w:left="0" w:right="0" w:hanging="0"/>
        <w:jc w:val="left"/>
        <w:rPr/>
      </w:pPr>
      <w:r>
        <w:rPr/>
        <w:t>​</w:t>
      </w:r>
    </w:p>
    <w:tbl>
      <w:tblPr>
        <w:tblW w:w="2957" w:type="dxa"/>
        <w:jc w:val="left"/>
        <w:tblInd w:w="0" w:type="dxa"/>
        <w:tblLayout w:type="fixed"/>
        <w:tblCellMar>
          <w:top w:w="0" w:type="dxa"/>
          <w:left w:w="0" w:type="dxa"/>
          <w:bottom w:w="0" w:type="dxa"/>
          <w:right w:w="0" w:type="dxa"/>
        </w:tblCellMar>
      </w:tblPr>
      <w:tblGrid>
        <w:gridCol w:w="2131"/>
        <w:gridCol w:w="826"/>
      </w:tblGrid>
      <w:tr>
        <w:trPr/>
        <w:tc>
          <w:tcPr>
            <w:tcW w:w="2131" w:type="dxa"/>
            <w:tcBorders/>
            <w:shd w:fill="CCEEFF" w:val="clear"/>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Buildings</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 years</w:t>
            </w:r>
          </w:p>
        </w:tc>
      </w:tr>
      <w:tr>
        <w:trPr/>
        <w:tc>
          <w:tcPr>
            <w:tcW w:w="213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equipment</w:t>
            </w:r>
          </w:p>
        </w:tc>
        <w:tc>
          <w:tcPr>
            <w:tcW w:w="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years</w:t>
            </w:r>
          </w:p>
        </w:tc>
      </w:tr>
      <w:tr>
        <w:trPr/>
        <w:tc>
          <w:tcPr>
            <w:tcW w:w="2131" w:type="dxa"/>
            <w:tcBorders/>
            <w:shd w:fill="CCEEFF"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Moveable equipment</w:t>
            </w:r>
          </w:p>
        </w:tc>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years</w:t>
            </w:r>
          </w:p>
        </w:tc>
      </w:tr>
      <w:tr>
        <w:trPr/>
        <w:tc>
          <w:tcPr>
            <w:tcW w:w="2131"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equipment</w:t>
            </w:r>
          </w:p>
        </w:tc>
        <w:tc>
          <w:tcPr>
            <w:tcW w:w="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years</w:t>
            </w:r>
          </w:p>
        </w:tc>
      </w:tr>
    </w:tbl>
    <w:p>
      <w:pPr>
        <w:pStyle w:val="TextBody"/>
        <w:bidi w:val="0"/>
        <w:spacing w:before="0" w:after="0"/>
        <w:ind w:left="0" w:right="0" w:hanging="0"/>
        <w:jc w:val="left"/>
        <w:rPr/>
      </w:pPr>
      <w:r>
        <w:rPr/>
        <w:t>​</w:t>
      </w:r>
    </w:p>
    <w:p>
      <w:pPr>
        <w:pStyle w:val="TextBody"/>
        <w:bidi w:val="0"/>
        <w:spacing w:before="0" w:after="200"/>
        <w:ind w:left="360" w:right="0" w:hanging="0"/>
        <w:jc w:val="both"/>
        <w:rPr>
          <w:rFonts w:ascii="Times New Roman;Times;serif" w:hAnsi="Times New Roman;Times;serif"/>
          <w:b/>
          <w:sz w:val="20"/>
        </w:rPr>
      </w:pPr>
      <w:r>
        <w:rPr>
          <w:rFonts w:ascii="Times New Roman;Times;serif" w:hAnsi="Times New Roman;Times;serif"/>
          <w:b/>
          <w:sz w:val="20"/>
        </w:rPr>
        <w:t>Redeemable preferred stock</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Company accounts for its redeemable preferred stock in accordance with the guidance of ASC Topic No. 480, </w:t>
      </w:r>
      <w:r>
        <w:rPr>
          <w:rFonts w:ascii="Times New Roman;Times;serif" w:hAnsi="Times New Roman;Times;serif"/>
          <w:i/>
          <w:sz w:val="20"/>
        </w:rPr>
        <w:t>Distinguishing Liabilities from Equity</w:t>
      </w:r>
      <w:r>
        <w:rPr>
          <w:rFonts w:ascii="Times New Roman;Times;serif" w:hAnsi="Times New Roman;Times;serif"/>
          <w:sz w:val="20"/>
        </w:rPr>
        <w:t xml:space="preserve"> (“ASC 480”). Preferred stock that is mandatorily redeemable is classified as a liability and measured at the present value of the redemption amount. Conditionally redeemable preferred stock (including preferred stock that is redeemable at the option of the holder or upon the occurrence of events not solely within the Company’s control) is classified as temporary equity. At all other times, preferred stock is classified as stockholders’ equity. The Company’s redeemable preferred stock contains redemption features that are outside of its control and subject to uncertain future events. Accordingly, such redeemable preferred stock is presented at the present value of its redemption amount as mezzanine equity, outside of the stockholders’ equity section of the Company’s unaudited condensed consolidated interim balance sheets. Accretion of the present value of redemption amounts is recognized to retained earnings or additional paid-in capital.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Warrant liability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accounts for warrants issued in connection with the Private Investment in Public Entity (“PIPE”) financing in accordance with ASC 480. Warrants are evaluated to determine whether they meet the definition of a freestanding financial instrument and whether they qualify for equity classification. Warrants that do not meet the criteria for equity classification, including those that are not indexed to the Company’s own stock or contain provisions that could require net cash settlement, are classified as derivative liabilities. This assessment, which requires the use of professional judgment, is conducted at the time of warrant issuance and as of each subsequent quarterly period end date while the warrants are outstanding. Such warrants are initially recognized at fair value on the date of issuance, with proceeds from the financing allocated first to the warrants based on their fair value and the residual allocated to the associated equity instruments. Subsequent to initial recognition, the derivative warrant liabilities are remeasured at fair value at each reporting date, with changes in fair value recognized in the unaudited condensed consolidated interim statement of operations.</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REVERSE RECAPITALIZATION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July 30, 2025, and as amended on September 29, 2025, Eagle Energy, SVII, and the Company entered into the BCA. Pursuant to the BCA, on February 24, 2026, the Company, Eagle Energy, and SVII completed a business combination through which each of Eagle Energy and SVII amalgamated with a wholly owned subsidiary of the Company domiciled in Nevada and the Cayman Islands, respectively, with Eagle Energy and SVII surviving the amalgamations.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Under the BCA, former shareholders of nonredeemable common stock of Eagle Energy received 18,888,289 shares of common stock in the Company, representing a consolidation on a 5.8349:1 basis. The former shareholder of redeemable common stock of Eagle Energy received 2,750,000 shares of common stock in the Company, representing a consolidation on a 5.8:1 basis. Reported shares of common stock, weighted average number of shares outstanding, and loss per share available to the Company’s common stock, prior to the de-SPAC transaction, have been retroactively restated to reflect the exchange ratio established in the BCA. Amounts in common stock and additional paid-in capital were recast for reallocation, in order to reflect the par value of shares post-consolidation.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Concurrently, former shareholders of SVII received 3,630,051 shares of common stock in the Company, representing a one-for-one exchange of Class A and Class B ordinary shares of SVII. The Company also issued 2,299,982 shares of common stock to holders of 23,000,000 rights of SVII, which were converted into shares of SVII on a 10:1 basis upon the consummation of a business combination by SVII. A total of 5,930,033 shares of common stock are retained by former shareholders of SVII.</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Upon completion of the de-SPAC transaction, the Company also issued 300,000 shares of common stock to a service provider in consideration for transaction costs associated with the de-SPAC transaction, and was included in additional paid-in capital of the Company.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Concurrently with the completion of the de-SPAC transaction, the Company also issued 29,700 shares of Series A Cumulative Convertible Preferred Stock, which are initially convertible into common stock on a 1-to-84.18 basis, and 2,500,000 PIPE warrants, and received $29,700,000 from a PIPE financing (Note 12).</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Concurrently with the completion of the de-SPAC transaction, the Company also issued 1,710,991 shares of common stock to Aurora Energy Metals Ltd. (“Aurora Energy”) for the acquisition of Oregon Energy (Note 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Upon completion of the de-SPAC transaction, the Company also assumed 18,500,000 warrants of SVII (Note 12). The Company also issued 2,422,133 warrants (Note 12) to the sponsor of SVII (the “SVII Sponsor”) in exchange for settlement of $2,422,133 of loans owed by SVII to the SVII Sponsor, at $1.00 per warrant, which has been accounted for as a capital transaction with a shareholder of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bookmarkStart w:id="912" w:name="Tc_0mEh-OrheESi8nGqewHegw_11_5"/>
      <w:bookmarkStart w:id="913" w:name="Tc_tSG6jdohRk2kMoq27ZCpgA_11_0"/>
      <w:bookmarkStart w:id="914" w:name="Tc_zOnIqodDHUO30jFxLiHfNw_10_5"/>
      <w:bookmarkStart w:id="915" w:name="Tc_08rHz0_fE0agXVukHQ8xNA_10_0"/>
      <w:bookmarkStart w:id="916" w:name="Tc_qC0cKlklpUaCLHfBaL94qA_9_5"/>
      <w:bookmarkStart w:id="917" w:name="Tc_1mwrzZAzEE27k8XAb36l1g_9_0"/>
      <w:bookmarkStart w:id="918" w:name="Tc_Ibqatw1mlkiEMvQ7GrLY7A_8_5"/>
      <w:bookmarkStart w:id="919" w:name="Tc_mGyC5euwl0aC4oEWVnbhqw_8_0"/>
      <w:bookmarkStart w:id="920" w:name="Tc_4R1KsRz_10GOTaTxUqNz6Q_7_5"/>
      <w:bookmarkStart w:id="921" w:name="Tc_MjkOxWM5NkC8mtnGPrRYbA_7_0"/>
      <w:bookmarkStart w:id="922" w:name="Tc_1TLbwWL9bkWt4RC3zBSgQA_6_5"/>
      <w:bookmarkStart w:id="923" w:name="Tc_1-7R4O7ElEK7RM7_vuErUA_6_0"/>
      <w:bookmarkStart w:id="924" w:name="Tc_oVeRqEH14E6pzL1i3r5aUg_5_5"/>
      <w:bookmarkStart w:id="925" w:name="Tc_C--eDCd4rEiv1_jXJglk-g_5_0"/>
      <w:bookmarkStart w:id="926" w:name="Tc_SFyhCRAz6UClNxLQW088LA_4_5"/>
      <w:bookmarkStart w:id="927" w:name="Tc_Zg3SP6bIVkWZl_j9Z3dfWw_4_0"/>
      <w:bookmarkStart w:id="928" w:name="Tc_lpA41xronE-xOuQud2ApUg_3_5"/>
      <w:bookmarkStart w:id="929" w:name="Tc_0XYVyztUqU65sDDia7JTxQ_3_0"/>
      <w:bookmarkStart w:id="930" w:name="Tc_specCI0erkGau0B-8CacFg_2_5"/>
      <w:bookmarkStart w:id="931" w:name="Tc_Wnqm-TzIQEO8xRfEEMy5YQ_2_0"/>
      <w:bookmarkStart w:id="932" w:name="Tc_UP2YI99xzE6WvJw3j-EnZw_1_4"/>
      <w:bookmarkStart w:id="933" w:name="Tc_yHYKHuVnNU6RVQyKsRVdLw_1_2"/>
      <w:bookmarkStart w:id="934" w:name="_728ce294_1e44_4e91_ba06_34fa27677342"/>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r>
        <w:rPr>
          <w:rFonts w:ascii="Times New Roman;Times;serif" w:hAnsi="Times New Roman;Times;serif"/>
          <w:sz w:val="20"/>
        </w:rPr>
        <w:t xml:space="preserve">In addition, in accordance with the </w:t>
      </w:r>
      <w:r>
        <w:rPr>
          <w:rFonts w:ascii="Times New Roman;Times;serif" w:hAnsi="Times New Roman;Times;serif"/>
          <w:smallCaps/>
          <w:sz w:val="20"/>
        </w:rPr>
        <w:t>BCA</w:t>
      </w:r>
      <w:r>
        <w:rPr>
          <w:rFonts w:ascii="Times New Roman;Times;serif" w:hAnsi="Times New Roman;Times;serif"/>
          <w:sz w:val="20"/>
        </w:rPr>
        <w:t xml:space="preserve">, certain former shareholders of Eagle Energy will have the contingent right to receive, in aggregate, 1,500,000 shares of common stock (the “Earnout Shares”), if at any time before February 24, 2031 (the “Earnout Period”), the VWAP (as defined in the BCA) of the shares of common stock of the Company equals or exceeds $16.00 for any 20 trading days within a period of 30 consecutive trading days (the “Earnout Target”), or if a change of control transaction occurs during the Earnout Period, and the Earnout Target was not already met. The Company evaluated the Earnout Shares under ASC 815-40, </w:t>
      </w:r>
      <w:r>
        <w:rPr>
          <w:rFonts w:ascii="Times New Roman;Times;serif" w:hAnsi="Times New Roman;Times;serif"/>
          <w:i/>
          <w:sz w:val="20"/>
        </w:rPr>
        <w:t>Derivatives and Hedging – Contracts in Entity’s Own Equity</w:t>
      </w:r>
      <w:r>
        <w:rPr>
          <w:rFonts w:ascii="Times New Roman;Times;serif" w:hAnsi="Times New Roman;Times;serif"/>
          <w:sz w:val="20"/>
        </w:rPr>
        <w:t>, and concluded the Earnout Shares meet the definition of an equity instrument, and accordingly will be accounted for as part of additional paid-in capital.</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Immediately following the completion of the de-SPAC transaction, the former holders of Eagle Energy shares had a 67.45% ownership interest of the Company, inclusive of conversion impact of the Series A Cumulative Convertible Preferred Stock. As a result of the de-SPAC transaction, the former shareholders of Eagle Energy acquired control of the Company, thereby constituting a reverse recapitalization.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de-SPAC transaction was accounted for as a capital transaction of Eagle Energy and equivalent to the issuance of shares by Eagle Energy for the net assets of SVII and the Company, accompanied by a recapitalization, as SVII did not qualify as a business according to the definition of ASC 805, and met the definition of a non-operating public shell. The Company was determined to be a vehicle through which the reverse recapitalization is effected. As a result, the transaction has been accounted for as a reverse recapitalization with Eagle Energy being identified as the acquirer, and SVII and the Company being treated as the accounting acquiree. Eagle Energy is the continuing entity.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Immediately following the de-SPAC transaction, the board of directors of the Company consisted of five members, four of whom were designated by Eagle Energy and one designated by SVII. In addition, the senior management of Eagle Energy became the senior management of the Company.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following summarizes the common stock outstanding immediately following the de-SPAC transaction, on February 24, 2026:</w:t>
      </w:r>
    </w:p>
    <w:tbl>
      <w:tblPr>
        <w:tblW w:w="8376" w:type="dxa"/>
        <w:jc w:val="left"/>
        <w:tblInd w:w="0" w:type="dxa"/>
        <w:tblLayout w:type="fixed"/>
        <w:tblCellMar>
          <w:top w:w="0" w:type="dxa"/>
          <w:left w:w="0" w:type="dxa"/>
          <w:bottom w:w="0" w:type="dxa"/>
          <w:right w:w="0" w:type="dxa"/>
        </w:tblCellMar>
      </w:tblPr>
      <w:tblGrid>
        <w:gridCol w:w="5281"/>
        <w:gridCol w:w="346"/>
        <w:gridCol w:w="1381"/>
        <w:gridCol w:w="346"/>
        <w:gridCol w:w="676"/>
        <w:gridCol w:w="346"/>
      </w:tblGrid>
      <w:tr>
        <w:trPr/>
        <w:tc>
          <w:tcPr>
            <w:tcW w:w="5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353435" cy="175260"/>
                      <wp:effectExtent l="0" t="0" r="0" b="0"/>
                      <wp:wrapNone/>
                      <wp:docPr id="70" name="Frame70"/>
                      <a:graphic xmlns:a="http://schemas.openxmlformats.org/drawingml/2006/main">
                        <a:graphicData uri="http://schemas.microsoft.com/office/word/2010/wordprocessingShape">
                          <wps:wsp>
                            <wps:cNvSpPr txBox="1"/>
                            <wps:spPr>
                              <a:xfrm>
                                <a:off x="0" y="0"/>
                                <a:ext cx="3353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876935" cy="175260"/>
                      <wp:effectExtent l="0" t="0" r="0" b="0"/>
                      <wp:wrapNone/>
                      <wp:docPr id="72" name="Frame72"/>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29260" cy="175260"/>
                      <wp:effectExtent l="0" t="0" r="0" b="0"/>
                      <wp:wrapNone/>
                      <wp:docPr id="74" name="Frame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w:t>
            </w:r>
          </w:p>
        </w:tc>
      </w:tr>
      <w:tr>
        <w:trPr/>
        <w:tc>
          <w:tcPr>
            <w:tcW w:w="52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SVII Public Shareholders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center"/>
              <w:rPr/>
            </w:pPr>
            <w:r>
              <w:rPr/>
              <w:t>​</w:t>
            </w:r>
          </w:p>
        </w:tc>
        <w:tc>
          <w:tcPr>
            <w:tcW w:w="13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1,101,717</w:t>
            </w:r>
          </w:p>
        </w:tc>
        <w:tc>
          <w:tcPr>
            <w:tcW w:w="346"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SVII Rights Conversion</w:t>
            </w:r>
          </w:p>
        </w:tc>
        <w:tc>
          <w:tcPr>
            <w:tcW w:w="346" w:type="dxa"/>
            <w:tcBorders/>
            <w:vAlign w:val="center"/>
          </w:tcPr>
          <w:p>
            <w:pPr>
              <w:pStyle w:val="TableContents"/>
              <w:bidi w:val="0"/>
              <w:spacing w:before="0" w:after="1"/>
              <w:ind w:left="0" w:right="0" w:hanging="0"/>
              <w:jc w:val="left"/>
              <w:rPr/>
            </w:pPr>
            <w:r>
              <w:rPr/>
              <w:t> </w:t>
            </w:r>
          </w:p>
        </w:tc>
        <w:tc>
          <w:tcPr>
            <w:tcW w:w="13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2,299,982</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SVII Founders</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1"/>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2,528,334</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SVII</w:t>
            </w:r>
          </w:p>
        </w:tc>
        <w:tc>
          <w:tcPr>
            <w:tcW w:w="346" w:type="dxa"/>
            <w:tcBorders/>
            <w:vAlign w:val="center"/>
          </w:tcPr>
          <w:p>
            <w:pPr>
              <w:pStyle w:val="TableContents"/>
              <w:bidi w:val="0"/>
              <w:spacing w:before="0" w:after="1"/>
              <w:ind w:left="0" w:right="0" w:hanging="0"/>
              <w:jc w:val="left"/>
              <w:rPr/>
            </w:pPr>
            <w:r>
              <w:rPr/>
              <w:t> </w:t>
            </w:r>
          </w:p>
        </w:tc>
        <w:tc>
          <w:tcPr>
            <w:tcW w:w="13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5,930,033</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Eagle Energy Shareholders</w:t>
            </w:r>
          </w:p>
        </w:tc>
        <w:tc>
          <w:tcPr>
            <w:tcW w:w="346" w:type="dxa"/>
            <w:tcBorders/>
            <w:shd w:fill="CCEEFF" w:val="clear"/>
            <w:vAlign w:val="center"/>
          </w:tcPr>
          <w:p>
            <w:pPr>
              <w:pStyle w:val="TableContents"/>
              <w:bidi w:val="0"/>
              <w:spacing w:before="0" w:after="1"/>
              <w:ind w:left="0" w:right="0" w:hanging="0"/>
              <w:jc w:val="left"/>
              <w:rPr/>
            </w:pPr>
            <w:r>
              <w:rPr/>
              <w:t> </w:t>
            </w:r>
          </w:p>
        </w:tc>
        <w:tc>
          <w:tcPr>
            <w:tcW w:w="13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21,638,289</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Aurora Energy</w:t>
            </w:r>
          </w:p>
        </w:tc>
        <w:tc>
          <w:tcPr>
            <w:tcW w:w="346" w:type="dxa"/>
            <w:tcBorders/>
            <w:vAlign w:val="center"/>
          </w:tcPr>
          <w:p>
            <w:pPr>
              <w:pStyle w:val="TableContents"/>
              <w:bidi w:val="0"/>
              <w:spacing w:before="0" w:after="1"/>
              <w:ind w:left="0" w:right="0" w:hanging="0"/>
              <w:jc w:val="left"/>
              <w:rPr/>
            </w:pPr>
            <w:r>
              <w:rPr/>
              <w:t> </w:t>
            </w:r>
          </w:p>
        </w:tc>
        <w:tc>
          <w:tcPr>
            <w:tcW w:w="13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1,710,991</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for Transaction Costs</w:t>
            </w:r>
          </w:p>
        </w:tc>
        <w:tc>
          <w:tcPr>
            <w:tcW w:w="346" w:type="dxa"/>
            <w:tcBorders/>
            <w:shd w:fill="CCEEFF" w:val="clear"/>
            <w:vAlign w:val="center"/>
          </w:tcPr>
          <w:p>
            <w:pPr>
              <w:pStyle w:val="TableContents"/>
              <w:bidi w:val="0"/>
              <w:spacing w:before="0" w:after="1"/>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300,000</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Common Stock at Closing</w:t>
            </w:r>
          </w:p>
        </w:tc>
        <w:tc>
          <w:tcPr>
            <w:tcW w:w="346" w:type="dxa"/>
            <w:tcBorders/>
            <w:vAlign w:val="center"/>
          </w:tcPr>
          <w:p>
            <w:pPr>
              <w:pStyle w:val="TableContents"/>
              <w:bidi w:val="0"/>
              <w:spacing w:before="0" w:after="1"/>
              <w:ind w:left="0" w:right="0" w:hanging="0"/>
              <w:jc w:val="left"/>
              <w:rPr/>
            </w:pPr>
            <w:r>
              <w:rPr/>
              <w:t> </w:t>
            </w:r>
          </w:p>
        </w:tc>
        <w:tc>
          <w:tcPr>
            <w:tcW w:w="13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29,579,313</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92.21</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5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A Cumulative Convertible Preferred Stock, As Converted</w:t>
            </w:r>
          </w:p>
        </w:tc>
        <w:tc>
          <w:tcPr>
            <w:tcW w:w="346" w:type="dxa"/>
            <w:tcBorders/>
            <w:shd w:fill="CCEEFF" w:val="clear"/>
            <w:vAlign w:val="center"/>
          </w:tcPr>
          <w:p>
            <w:pPr>
              <w:pStyle w:val="TableContents"/>
              <w:bidi w:val="0"/>
              <w:spacing w:before="0" w:after="1"/>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2,500,000</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Shares</w:t>
            </w:r>
          </w:p>
        </w:tc>
        <w:tc>
          <w:tcPr>
            <w:tcW w:w="346" w:type="dxa"/>
            <w:tcBorders/>
            <w:vAlign w:val="center"/>
          </w:tcPr>
          <w:p>
            <w:pPr>
              <w:pStyle w:val="TableContents"/>
              <w:bidi w:val="0"/>
              <w:spacing w:before="0" w:after="1"/>
              <w:ind w:left="0" w:right="0" w:hanging="0"/>
              <w:jc w:val="left"/>
              <w:rPr/>
            </w:pPr>
            <w:r>
              <w:rPr/>
              <w:t> </w:t>
            </w:r>
          </w:p>
        </w:tc>
        <w:tc>
          <w:tcPr>
            <w:tcW w:w="13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32,079,313</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100.00</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302"/>
        <w:gridCol w:w="9779"/>
      </w:tblGrid>
      <w:tr>
        <w:trPr/>
        <w:tc>
          <w:tcPr>
            <w:tcW w:w="124" w:type="dxa"/>
            <w:tcBorders/>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77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Includes 691,666</w:t>
            </w:r>
            <w:r>
              <w:rPr>
                <w:caps w:val="false"/>
                <w:smallCaps w:val="false"/>
              </w:rPr>
              <w:t xml:space="preserve"> </w:t>
            </w:r>
            <w:r>
              <w:rPr>
                <w:rFonts w:ascii="Times New Roman;Times;serif" w:hAnsi="Times New Roman;Times;serif"/>
                <w:b w:val="false"/>
                <w:i w:val="false"/>
                <w:caps w:val="false"/>
                <w:smallCaps w:val="false"/>
                <w:sz w:val="16"/>
              </w:rPr>
              <w:t>shares of common stock transferred by SVII Sponsor to certain SVII Public Shareholders in accordance with a non-redemption agreement among the parties.</w:t>
            </w:r>
          </w:p>
        </w:tc>
      </w:tr>
    </w:tbl>
    <w:tbl>
      <w:tblPr>
        <w:tblW w:w="10205" w:type="dxa"/>
        <w:jc w:val="left"/>
        <w:tblInd w:w="0" w:type="dxa"/>
        <w:tblLayout w:type="fixed"/>
        <w:tblCellMar>
          <w:top w:w="28" w:type="dxa"/>
          <w:left w:w="28" w:type="dxa"/>
          <w:bottom w:w="28" w:type="dxa"/>
          <w:right w:w="28" w:type="dxa"/>
        </w:tblCellMar>
      </w:tblPr>
      <w:tblGrid>
        <w:gridCol w:w="124"/>
        <w:gridCol w:w="303"/>
        <w:gridCol w:w="9778"/>
      </w:tblGrid>
      <w:tr>
        <w:trPr/>
        <w:tc>
          <w:tcPr>
            <w:tcW w:w="124" w:type="dxa"/>
            <w:tcBorders/>
            <w:vAlign w:val="center"/>
          </w:tcPr>
          <w:p>
            <w:pPr>
              <w:pStyle w:val="TableContents"/>
              <w:bidi w:val="0"/>
              <w:spacing w:before="0" w:after="283"/>
              <w:jc w:val="left"/>
              <w:rPr>
                <w:sz w:val="4"/>
                <w:szCs w:val="4"/>
              </w:rPr>
            </w:pPr>
            <w:r>
              <w:rPr>
                <w:sz w:val="4"/>
                <w:szCs w:val="4"/>
              </w:rPr>
            </w:r>
          </w:p>
        </w:tc>
        <w:tc>
          <w:tcPr>
            <w:tcW w:w="30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77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Includes SVII Sponsor and former independent directors of SVII. Excludes 691,666</w:t>
            </w:r>
            <w:r>
              <w:rPr>
                <w:caps w:val="false"/>
                <w:smallCaps w:val="false"/>
              </w:rPr>
              <w:t xml:space="preserve"> </w:t>
            </w:r>
            <w:r>
              <w:rPr>
                <w:rFonts w:ascii="Times New Roman;Times;serif" w:hAnsi="Times New Roman;Times;serif"/>
                <w:b w:val="false"/>
                <w:i w:val="false"/>
                <w:caps w:val="false"/>
                <w:smallCaps w:val="false"/>
                <w:sz w:val="16"/>
              </w:rPr>
              <w:t>shares of common stock transferred in accordance with a non-redemption agreement.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bookmarkStart w:id="935" w:name="Tc_ICb-YORMQ0emyBQPdFxCGw_4_2"/>
      <w:bookmarkStart w:id="936" w:name="Tc_Lb2lbC6G30Wy_plDhoEO_w_4_0"/>
      <w:bookmarkStart w:id="937" w:name="Tc_aXB4wmf-EkyZoKZL9CO50Q_3_0"/>
      <w:bookmarkStart w:id="938" w:name="Tc_4aKWMWruDUC0RND4A3xT6g_2_0"/>
      <w:bookmarkStart w:id="939" w:name="Tc_l96Ezv52P0SzksYI0Qyyow_1_2"/>
      <w:bookmarkStart w:id="940" w:name="Tc_z76vZ0lJRECke7dq0vtHuA_1_0"/>
      <w:bookmarkStart w:id="941" w:name="_fd005f0f_381c_4bed_8334_22ab04d32bc0"/>
      <w:bookmarkStart w:id="942" w:name="Tc_9dUAkZp120qYz7PXZhIcdw_12_2"/>
      <w:bookmarkStart w:id="943" w:name="Tc_TJAUOjwQxEqge27a_Pyvfw_12_0"/>
      <w:bookmarkStart w:id="944" w:name="Tc_w9sc4xBwVU6U8IHUTBYw4Q_11_2"/>
      <w:bookmarkStart w:id="945" w:name="Tc_p6AV5XKNNEGscWZL0PaFuw_11_0"/>
      <w:bookmarkStart w:id="946" w:name="Tc_aeH-MKGwGkS2gnj6rLg5CA_9_2"/>
      <w:bookmarkStart w:id="947" w:name="Tc_oT7p86q4mkq6tu9M3KhYhg_9_0"/>
      <w:bookmarkStart w:id="948" w:name="Tc_pmkQlCeLTkqI6d-l4kT55g_8_0"/>
      <w:bookmarkStart w:id="949" w:name="Tc_-gVTumCvo0OXzLmKbf0Zng_7_0"/>
      <w:bookmarkStart w:id="950" w:name="Tc_5nGzLP5SfE23FXmVjxo4_A_6_2"/>
      <w:bookmarkStart w:id="951" w:name="Tc_RQLO5Adl_0mcBdaftrG7kw_6_0"/>
      <w:bookmarkStart w:id="952" w:name="Tc_kT1SuCezX0qafx6OVnNYwg_5_0"/>
      <w:bookmarkStart w:id="953" w:name="Tc_ocnd95poc0e-4kZ_M5zU2g_3_2"/>
      <w:bookmarkStart w:id="954" w:name="Tc_cY8Nqg2yd0qZE3fzuZpqug_3_0"/>
      <w:bookmarkStart w:id="955" w:name="Tc_dPD5vfLp30KPGzRbYex-aA_2_0"/>
      <w:bookmarkStart w:id="956" w:name="Tc_myYLGrfpAkKlqfYiV1FU4A_1_2"/>
      <w:bookmarkStart w:id="957" w:name="Tc_5Rtj8G_tgUGUxZ2bNPOmqA_1_0"/>
      <w:bookmarkStart w:id="958" w:name="_6882bee5_fcf1_4fbe_a3cd_3e2caf62373d"/>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r>
        <w:rPr>
          <w:rFonts w:ascii="Times New Roman;Times;serif" w:hAnsi="Times New Roman;Times;serif"/>
          <w:sz w:val="20"/>
        </w:rPr>
        <w:t>A reconciliation of net contributions from reverse recapitalization is as follows:</w:t>
      </w:r>
    </w:p>
    <w:tbl>
      <w:tblPr>
        <w:tblW w:w="5689" w:type="dxa"/>
        <w:jc w:val="left"/>
        <w:tblInd w:w="0" w:type="dxa"/>
        <w:tblLayout w:type="fixed"/>
        <w:tblCellMar>
          <w:top w:w="0" w:type="dxa"/>
          <w:left w:w="0" w:type="dxa"/>
          <w:bottom w:w="0" w:type="dxa"/>
          <w:right w:w="0" w:type="dxa"/>
        </w:tblCellMar>
      </w:tblPr>
      <w:tblGrid>
        <w:gridCol w:w="4036"/>
        <w:gridCol w:w="346"/>
        <w:gridCol w:w="211"/>
        <w:gridCol w:w="1096"/>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562860" cy="175260"/>
                      <wp:effectExtent l="0" t="0" r="0" b="0"/>
                      <wp:wrapNone/>
                      <wp:docPr id="76" name="Frame76"/>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5960" cy="175260"/>
                      <wp:effectExtent l="0" t="0" r="0" b="0"/>
                      <wp:wrapNone/>
                      <wp:docPr id="79" name="Frame7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before="0" w:after="0"/>
              <w:ind w:left="0" w:right="0" w:hanging="0"/>
              <w:jc w:val="center"/>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4,894,595</w:t>
            </w:r>
          </w:p>
        </w:tc>
      </w:tr>
      <w:tr>
        <w:trPr/>
        <w:tc>
          <w:tcPr>
            <w:tcW w:w="40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transaction costs</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(2,916,782)</w:t>
            </w:r>
          </w:p>
        </w:tc>
      </w:tr>
      <w:tr>
        <w:trPr/>
        <w:tc>
          <w:tcPr>
            <w:tcW w:w="40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the reverse recapitalization</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1,977,813</w: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40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liabilities assumed by the Company:</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40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24,284</w:t>
            </w:r>
          </w:p>
        </w:tc>
      </w:tr>
      <w:tr>
        <w:trPr/>
        <w:tc>
          <w:tcPr>
            <w:tcW w:w="40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(10,913)</w:t>
            </w:r>
          </w:p>
        </w:tc>
      </w:tr>
      <w:tr>
        <w:trPr/>
        <w:tc>
          <w:tcPr>
            <w:tcW w:w="40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Promissory notes payable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(2,422,133)</w:t>
            </w:r>
          </w:p>
        </w:tc>
      </w:tr>
      <w:tr>
        <w:trPr/>
        <w:tc>
          <w:tcPr>
            <w:tcW w:w="40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assets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(2,408,762)</w: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40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conversion of promissory notes to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2,422,133</w:t>
            </w:r>
          </w:p>
        </w:tc>
      </w:tr>
      <w:tr>
        <w:trPr/>
        <w:tc>
          <w:tcPr>
            <w:tcW w:w="40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contributions from reverse recapitalization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1,991,184</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 reconciliation of cash assumed on reverse recapitalization is as follows:</w:t>
      </w:r>
    </w:p>
    <w:tbl>
      <w:tblPr>
        <w:tblW w:w="7084" w:type="dxa"/>
        <w:jc w:val="left"/>
        <w:tblInd w:w="0" w:type="dxa"/>
        <w:tblLayout w:type="fixed"/>
        <w:tblCellMar>
          <w:top w:w="0" w:type="dxa"/>
          <w:left w:w="0" w:type="dxa"/>
          <w:bottom w:w="0" w:type="dxa"/>
          <w:right w:w="0" w:type="dxa"/>
        </w:tblCellMar>
      </w:tblPr>
      <w:tblGrid>
        <w:gridCol w:w="5491"/>
        <w:gridCol w:w="346"/>
        <w:gridCol w:w="211"/>
        <w:gridCol w:w="1036"/>
      </w:tblGrid>
      <w:tr>
        <w:trPr/>
        <w:tc>
          <w:tcPr>
            <w:tcW w:w="5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486785" cy="175260"/>
                      <wp:effectExtent l="0" t="0" r="0" b="0"/>
                      <wp:wrapNone/>
                      <wp:docPr id="80" name="Frame80"/>
                      <a:graphic xmlns:a="http://schemas.openxmlformats.org/drawingml/2006/main">
                        <a:graphicData uri="http://schemas.microsoft.com/office/word/2010/wordprocessingShape">
                          <wps:wsp>
                            <wps:cNvSpPr txBox="1"/>
                            <wps:spPr>
                              <a:xfrm>
                                <a:off x="0" y="0"/>
                                <a:ext cx="3486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57860" cy="175260"/>
                      <wp:effectExtent l="0" t="0" r="0" b="0"/>
                      <wp:wrapNone/>
                      <wp:docPr id="83" name="Frame8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the reverse recapitalization</w:t>
            </w:r>
          </w:p>
        </w:tc>
        <w:tc>
          <w:tcPr>
            <w:tcW w:w="346" w:type="dxa"/>
            <w:tcBorders/>
            <w:shd w:fill="CCEEFF" w:val="clear"/>
            <w:vAlign w:val="center"/>
          </w:tcPr>
          <w:p>
            <w:pPr>
              <w:pStyle w:val="TableContents"/>
              <w:bidi w:val="0"/>
              <w:spacing w:before="0" w:after="0"/>
              <w:ind w:left="0" w:right="0" w:hanging="0"/>
              <w:jc w:val="center"/>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1,977,813</w:t>
            </w:r>
          </w:p>
        </w:tc>
      </w:tr>
      <w:tr>
        <w:trPr/>
        <w:tc>
          <w:tcPr>
            <w:tcW w:w="5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transaction costs not paid from de-SPAC proceeds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48,689</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Cash disbursed for prepaid expenses from de-SPAC proceeds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(87,045)</w:t>
            </w:r>
          </w:p>
        </w:tc>
      </w:tr>
      <w:tr>
        <w:trPr/>
        <w:tc>
          <w:tcPr>
            <w:tcW w:w="5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assumed on reverse recapitalization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1,939,457</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Lock-up agreement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connection with the de-SPAC transaction, SVII Sponsor and certain other shareholders of the Company entered into a lock-up agreement, and agreed to certain transfer and lock-up restrictions of the Company’s common stock, which would terminate 180 days after February 24, 2026, subject to certain exclusions, such as in the event of a liquidation, merger, stock exchange, or other similar transaction that results in all of the Company’s stockholders having the right to exchange their equity for cash, securities or other property.</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Registration rights agreement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connection with the de-SPAC transaction, on February 24, 2026, the Company, SVII Sponsor, and certain stockholders of the Company entered into an Amended and Restated Registration Rights Agreement, pursuant to which, among other things, those stockholders will be granted customary registration rights with respect to the securities of the Company that they hold.</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Indemnification agreements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connection with the de-SPAC transaction, on February 24, 2026, the Company entered into indemnification agreements with each of its directors and executive officers. Each indemnification agreement provides for indemnification and advancements by the Company of certain expenses, including attorney’s fees, judgments, fines, and settlement amounts incurred by a director or executive officer in any action or proceeding arising out of their services as one of the Company’s directors or executive officers or as a director or executive officer of any other company or enterprise to which the person provides services at the Company’s request.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ACQUISITION OF OREGON ENERGY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Concurrently with the de-SPAC transaction (Note 4), the Company, through its subsidiary Eagle Energy, completed the acquisition of Oregon Energy from Aurora Energy, pursuant to the terms of a property option agreement (the “Aurora Option Agreement”) with Aurora Energy originally entered into on November 18, 2024, as amended on November 26, 2025 and February 24, 2026. As consideration for the acquisition, the Company issued 1,710,991 shares of its common stock to Aurora Energy at a fair value of $6.99 per share, resulting in total share consideration of $11,959,827. The Company also made cash payments totaling $1,219,545 to Aurora Energy pursuant to the terms of the Aurora Option Agreement prior to closing, which were previously capitalized as mineral rights (Note 9). Upon completion, the Company acquired 100% membership interest in Oregon Energy.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bookmarkStart w:id="959" w:name="Tc_oZuNhOkARUao5qIwxAyZLQ_14_2"/>
      <w:bookmarkStart w:id="960" w:name="Tc_RsR0lurSa0GXLJ11LNgrsg_14_0"/>
      <w:bookmarkStart w:id="961" w:name="Tc_5dN8R7mOEkyNeBNPOxYyAQ_13_0"/>
      <w:bookmarkStart w:id="962" w:name="Tc_OHA6DPvaJEWL7HEarzORgg_12_0"/>
      <w:bookmarkStart w:id="963" w:name="Tc_rJ8bGu3sTkSw0rcQY-8g8Q_11_0"/>
      <w:bookmarkStart w:id="964" w:name="Tc_6DRtURuMN0SNiTkJ0BGzUQ_10_0"/>
      <w:bookmarkStart w:id="965" w:name="Tc_Ylq7bbm-6UGs4Qk_Ojz6xA_9_0"/>
      <w:bookmarkStart w:id="966" w:name="Tc_XSqaeNLMc02bY5G065Utww_8_2"/>
      <w:bookmarkStart w:id="967" w:name="Tc_v74qyvtrIk2wju2KBtGqew_8_0"/>
      <w:bookmarkStart w:id="968" w:name="Tc_pnVA2GGP902ZvGtF1d6z8w_7_0"/>
      <w:bookmarkStart w:id="969" w:name="Tc_q19eaAwsWESFfS8jUEAg8w_5_2"/>
      <w:bookmarkStart w:id="970" w:name="Tc_sawBQtBHxk-A-J8IHpBlZg_5_0"/>
      <w:bookmarkStart w:id="971" w:name="Tc_dkYbRIT-lUeMnimjNiinrA_4_0"/>
      <w:bookmarkStart w:id="972" w:name="Tc_cDK91_opoEOToPSA7lmPpA_3_2"/>
      <w:bookmarkStart w:id="973" w:name="Tc_DtGLOb6MzUCeN5GA3ZR5OA_3_0"/>
      <w:bookmarkStart w:id="974" w:name="Tc_3Wkq_kqshUCAr4oWlQQgHg_2_2"/>
      <w:bookmarkStart w:id="975" w:name="Tc_nVNERh4tzEGMFypnVGSzMQ_2_0"/>
      <w:bookmarkStart w:id="976" w:name="Tc_n5xlhZYiTU-pQMS_Ta-dCw_1_0"/>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r>
        <w:rPr>
          <w:rFonts w:ascii="Times New Roman;Times;serif" w:hAnsi="Times New Roman;Times;serif"/>
          <w:sz w:val="20"/>
        </w:rPr>
        <w:t>Under the terms of the Aurora Option Agreement, Aurora Energy retained a 1.0% net smelter return (“NSR”) royalty on the mineral rights, which constitutes a perpetual interest in the underlying assets. Certain contingent and deferred consideration obligations (including resource-based and pre-feasibility milestone payments) remain outstanding and will be recognized when probable.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acquisition was accounted for as an asset acquisition under ASC 805, as Oregon Energy did not qualify as a business according to the definition of ASC 805. The purchase price was allocated to the identifiable assets acquired and liabilities assumed based on their estimated fair value as of the acquisition date. The Company utilized a market approach, based on observed and implied valuation multiples of public companies, to assess the components of its purchase price allocation. The allocation of the purchase price is summarized below:</w:t>
      </w:r>
    </w:p>
    <w:p>
      <w:pPr>
        <w:pStyle w:val="TextBody"/>
        <w:bidi w:val="0"/>
        <w:spacing w:before="0" w:after="0"/>
        <w:ind w:left="0" w:right="0" w:hanging="0"/>
        <w:jc w:val="left"/>
        <w:rPr/>
      </w:pPr>
      <w:r>
        <w:rPr/>
        <w:t>​</w:t>
      </w:r>
    </w:p>
    <w:tbl>
      <w:tblPr>
        <w:tblW w:w="7234" w:type="dxa"/>
        <w:jc w:val="left"/>
        <w:tblInd w:w="0" w:type="dxa"/>
        <w:tblLayout w:type="fixed"/>
        <w:tblCellMar>
          <w:top w:w="0" w:type="dxa"/>
          <w:left w:w="0" w:type="dxa"/>
          <w:bottom w:w="0" w:type="dxa"/>
          <w:right w:w="0" w:type="dxa"/>
        </w:tblCellMar>
      </w:tblPr>
      <w:tblGrid>
        <w:gridCol w:w="5536"/>
        <w:gridCol w:w="346"/>
        <w:gridCol w:w="211"/>
        <w:gridCol w:w="1141"/>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515360" cy="175260"/>
                      <wp:effectExtent l="0" t="0" r="0" b="0"/>
                      <wp:wrapNone/>
                      <wp:docPr id="84" name="Frame84"/>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724535" cy="175260"/>
                      <wp:effectExtent l="0" t="0" r="0" b="0"/>
                      <wp:wrapNone/>
                      <wp:docPr id="87" name="Frame8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common shares issued for acquisition of Oregon Energy</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1,710,991</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per share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consideration</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11,959,827</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consideration from prior option payments (Note 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1,219,545</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13,179,372</w: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assets assumed by the Company: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Prepaids and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42,604</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140,960</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242,012</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(2,231)</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Mineral rights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12,755,725</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assets (liabilities)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13,179,372</w:t>
            </w:r>
          </w:p>
        </w:tc>
      </w:tr>
    </w:tbl>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acquisition also included contingent considerations payable upon the achievement of certain post-closing milestones related to future measured and/or indicated mineral resources and the completion of a positive pre-feasibility study (Note 9). Such contingent considerations were not included in the purchase consideration recognized on the closing date of the asset acquisition, as the related milestones are dependent on future events with uncertain outcomes and were not considered probable as of the closing date.</w:t>
      </w:r>
    </w:p>
    <w:p>
      <w:pPr>
        <w:pStyle w:val="TextBody"/>
        <w:bidi w:val="0"/>
        <w:spacing w:before="0" w:after="240"/>
        <w:ind w:left="0" w:right="0" w:hanging="0"/>
        <w:jc w:val="both"/>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RECLAMATION AND ENVIRONMENTAL OBLIGATION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Reclamation and environmental costs are based principally on legal and regulatory requirements. Management estimates the costs associated with reclamation of land to its original condition following mineral exploration activities. These estimates are reviewed periodically; however, actual results may differ from those estimates.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In connection with the acquisition of Oregon Energy (Note 5), reclamation and environmental obligations were evaluated in accordance with ASC 805, and recorded at their estimated fair value as of the acquisition date. The Company also considered the guidance under ASC 410, </w:t>
      </w:r>
      <w:r>
        <w:rPr>
          <w:rFonts w:ascii="Times New Roman;Times;serif" w:hAnsi="Times New Roman;Times;serif"/>
          <w:i/>
          <w:sz w:val="20"/>
        </w:rPr>
        <w:t>Asset Retirement and Environmental Obligations</w:t>
      </w:r>
      <w:r>
        <w:rPr>
          <w:rFonts w:ascii="Times New Roman;Times;serif" w:hAnsi="Times New Roman;Times;serif"/>
          <w:sz w:val="20"/>
        </w:rPr>
        <w:t>, for subsequent measurement of such obligations.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Prior to the acquisition, Oregon Energy posted cash bonds as financial assurance with the Bureau of Land Management of the United States Department of the Interior (“BLM”) and the Oregon Department of Geology and Mineral Industries (“DOGAMI”) to satisfy reclamation requirements. As of May 31, 2026, restricted cash representing amounts held as collateral for these obligations totaled $140,960 (November 30, 2025 - $Nil). These bonds relate to mineral exploration activities conducted in fiscal years prior to the acquisition, dating back to 2023, for which reclamation activities have been completed prior to the acquisition.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Oregon Energy originally deposited $160,470 with BLM and DOGAMI. In February 2025, refunds of $19,510 were received from the BLM following partial satisfaction of reclamation requirements. The remaining bonds are retained by the BLM and DOGAMI, until revegetation was deemed successful by these regulatory agencies.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reclamation and environmental obligations were substantially settled prior to the acquisition, and the Company has yet to commence new exploration activities, the carrying amount of reclamation and environmental obligation was $Nil as of May 31, 2026.</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Increases in reclamation and environmental obligation associated with exploration activities of the Company are not capitalized to mineral rights (Note 9), as only acquisition costs are capitalizable in accordance with ASC 930, </w:t>
      </w:r>
      <w:r>
        <w:rPr>
          <w:rFonts w:ascii="Times New Roman;Times;serif" w:hAnsi="Times New Roman;Times;serif"/>
          <w:i/>
          <w:sz w:val="20"/>
        </w:rPr>
        <w:t>Extractive Activities – Mining</w:t>
      </w:r>
      <w:r>
        <w:rPr>
          <w:rFonts w:ascii="Times New Roman;Times;serif" w:hAnsi="Times New Roman;Times;serif"/>
          <w:sz w:val="20"/>
        </w:rPr>
        <w:t>.</w:t>
      </w:r>
    </w:p>
    <w:p>
      <w:pPr>
        <w:pStyle w:val="TextBody"/>
        <w:bidi w:val="0"/>
        <w:spacing w:before="0" w:after="240"/>
        <w:ind w:left="360" w:right="0" w:hanging="0"/>
        <w:jc w:val="left"/>
        <w:rPr>
          <w:rFonts w:ascii="Times New Roman;Times;serif" w:hAnsi="Times New Roman;Times;serif"/>
          <w:b/>
          <w:sz w:val="20"/>
        </w:rPr>
      </w:pPr>
      <w:bookmarkStart w:id="977" w:name="Narr_HAQTXGUTE0uA54B3qrMKgw"/>
      <w:bookmarkStart w:id="978" w:name="Narr_MSJT5LYMsUOsm9nqktggFw"/>
      <w:bookmarkStart w:id="979" w:name="Tc_XkDWliJd7EWNZDn83lFHLQ_11_6"/>
      <w:bookmarkStart w:id="980" w:name="Tc_fvRooM7AzUiVzDSwvpUWOw_11_5"/>
      <w:bookmarkStart w:id="981" w:name="Tc_l6DlB3AKAUa51n6yYBxI9w_11_2"/>
      <w:bookmarkStart w:id="982" w:name="Tc_eS1pQmvoJ0a1T5-lAP5p7A_11_0"/>
      <w:bookmarkStart w:id="983" w:name="Tc_0wMFIVTyq0CbcQeBDOZR9w_10_6"/>
      <w:bookmarkStart w:id="984" w:name="Tc_8rDLOSl9jEqru7Dmou2wmw_10_0"/>
      <w:bookmarkStart w:id="985" w:name="Tc_fL17FDq8T0mDZwgCHUfVMw_8_6"/>
      <w:bookmarkStart w:id="986" w:name="Tc_f2dCXKgaYU29xkPtimYHaQ_7_6"/>
      <w:bookmarkStart w:id="987" w:name="Tc_KroWu671XEy3rBKRLvNGFA_7_0"/>
      <w:bookmarkStart w:id="988" w:name="Tc_fIpQzxx8YE2Dwv76YO3Lvw_6_6"/>
      <w:bookmarkStart w:id="989" w:name="Tc_eB_sFdyfLUa8kcZkBVh74A_6_0"/>
      <w:bookmarkStart w:id="990" w:name="Tc_Z8eJTDvNDEmpkpYDTUo-MA_5_6"/>
      <w:bookmarkStart w:id="991" w:name="Tc_Vvxn-rFSIEyg6qLi7t-DuQ_5_0"/>
      <w:bookmarkStart w:id="992" w:name="Tc_3zYaK5bYRUGn4DccqU8juA_4_6"/>
      <w:bookmarkStart w:id="993" w:name="Tc_ncirdSXE4UOIWO0TwmoWyg_4_0"/>
      <w:bookmarkStart w:id="994" w:name="Tc_MGMmtkRmlkOk1V3tjBiBqg_3_6"/>
      <w:bookmarkStart w:id="995" w:name="Tc_byBPOJDKH0ikJLrnP6cYfA_3_5"/>
      <w:bookmarkStart w:id="996" w:name="Tc_IEVb9F1Hwk2UO6kaS7sy8A_3_2"/>
      <w:bookmarkStart w:id="997" w:name="Tc_uLY1MviNakyIwh5OQVMkNQ_3_0"/>
      <w:bookmarkStart w:id="998" w:name="Tc__0y_liDrhUeMSfVqjw817A_2_5"/>
      <w:bookmarkStart w:id="999" w:name="Tc_CGFfbv3Nm0qijyzfSvv6CQ_2_2"/>
      <w:bookmarkStart w:id="1000" w:name="Tc_OH9tLAW1J06pg4MCwDp1RQ_1_5"/>
      <w:bookmarkStart w:id="1001" w:name="Tc_JghGPaM6KUKk0ysBwhf2bg_1_2"/>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r>
        <w:rPr>
          <w:rFonts w:ascii="Times New Roman;Times;serif" w:hAnsi="Times New Roman;Times;serif"/>
          <w:b/>
          <w:i w:val="false"/>
          <w:caps w:val="false"/>
          <w:smallCaps w:val="false"/>
          <w:sz w:val="20"/>
        </w:rPr>
        <w:t>7.</w:t>
      </w:r>
      <w:r>
        <w:rPr>
          <w:rFonts w:ascii="Times New Roman;Times;serif" w:hAnsi="Times New Roman;Times;serif"/>
          <w:b/>
          <w:sz w:val="20"/>
        </w:rPr>
        <w:t>PROPERTY, PLANT AND EQUIPMENT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Property, plant, and equipment consist of the following:</w:t>
      </w:r>
    </w:p>
    <w:p>
      <w:pPr>
        <w:pStyle w:val="TextBody"/>
        <w:bidi w:val="0"/>
        <w:spacing w:before="0" w:after="0"/>
        <w:ind w:left="0" w:right="0" w:hanging="0"/>
        <w:jc w:val="left"/>
        <w:rPr/>
      </w:pPr>
      <w:r>
        <w:rPr/>
        <w:t>​</w:t>
      </w:r>
    </w:p>
    <w:tbl>
      <w:tblPr>
        <w:tblW w:w="5165" w:type="dxa"/>
        <w:jc w:val="left"/>
        <w:tblInd w:w="0" w:type="dxa"/>
        <w:tblLayout w:type="fixed"/>
        <w:tblCellMar>
          <w:top w:w="0" w:type="dxa"/>
          <w:left w:w="0" w:type="dxa"/>
          <w:bottom w:w="0" w:type="dxa"/>
          <w:right w:w="0" w:type="dxa"/>
        </w:tblCellMar>
      </w:tblPr>
      <w:tblGrid>
        <w:gridCol w:w="2266"/>
        <w:gridCol w:w="346"/>
        <w:gridCol w:w="211"/>
        <w:gridCol w:w="781"/>
        <w:gridCol w:w="346"/>
        <w:gridCol w:w="386"/>
        <w:gridCol w:w="829"/>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438910" cy="175260"/>
                      <wp:effectExtent l="0" t="0" r="0" b="0"/>
                      <wp:wrapNone/>
                      <wp:docPr id="88" name="Frame88"/>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95935" cy="175260"/>
                      <wp:effectExtent l="0" t="0" r="0" b="0"/>
                      <wp:wrapNone/>
                      <wp:docPr id="91" name="Frame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45110" cy="175260"/>
                      <wp:effectExtent l="0" t="0" r="0" b="0"/>
                      <wp:wrapNone/>
                      <wp:docPr id="93" name="Frame93"/>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26415" cy="175260"/>
                      <wp:effectExtent l="0" t="0" r="0" b="0"/>
                      <wp:wrapNone/>
                      <wp:docPr id="94" name="Frame94"/>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May 31, </w:t>
            </w:r>
          </w:p>
        </w:tc>
        <w:tc>
          <w:tcPr>
            <w:tcW w:w="346" w:type="dxa"/>
            <w:tcBorders/>
            <w:vAlign w:val="center"/>
          </w:tcPr>
          <w:p>
            <w:pPr>
              <w:pStyle w:val="TableContents"/>
              <w:bidi w:val="0"/>
              <w:spacing w:before="0" w:after="0"/>
              <w:ind w:left="0" w:right="0" w:hanging="0"/>
              <w:jc w:val="left"/>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November 30, </w: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151,172</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80,593</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49,457</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Moveable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7,504</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289,979</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w:t>
            </w:r>
          </w:p>
        </w:tc>
      </w:tr>
      <w:tr>
        <w:trPr/>
        <w:tc>
          <w:tcPr>
            <w:tcW w:w="22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(6,102)</w:t>
            </w:r>
          </w:p>
        </w:tc>
        <w:tc>
          <w:tcPr>
            <w:tcW w:w="346" w:type="dxa"/>
            <w:tcBorders/>
            <w:vAlign w:val="center"/>
          </w:tcPr>
          <w:p>
            <w:pPr>
              <w:pStyle w:val="TableContents"/>
              <w:bidi w:val="0"/>
              <w:spacing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book value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283,877</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Depreciation expense for the three and six months ended May  31, 2026, was $4,619 and $6,102, respectively.</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Depreciation expense for the three and six months ended May 31, 2025, was $Nil and $Nil, respectively.</w:t>
      </w:r>
    </w:p>
    <w:p>
      <w:pPr>
        <w:pStyle w:val="TextBody"/>
        <w:bidi w:val="0"/>
        <w:spacing w:before="0" w:after="240"/>
        <w:ind w:left="360" w:right="0" w:hanging="0"/>
        <w:jc w:val="both"/>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INTANGIBLE ASSET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June 20, 2025, the Company entered into an exclusive patent license agreement with UNM Rainforest Innovations (“UNMRI”) for the use and commercialization of certain patents and technologies, including the grant of commercial sub-licenses, in relation to designs and technologies of small modular nuclear reactors. The term of the agreement is to remain in force until the later of: (i) 10 years from the date of first sale of a licensed product, or provision of a licensed service; and, (ii) the last expiration date of the underlying patents. The Company paid a license fee of $50,000 and patent expense reimbursement of $17,430 upon execution of the agreement. The Company capitalized the costs paid upon execution of the agreement, and subsequent costs connected with establishment of new intangible asset rights.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accordance with the patent license agreement, a license maintenance fee of $35,000 due on January 31, 2026 has been paid. The Company is obligated to pay additional license maintenance fees of $50,000 on each of January 31, 2027 and January 31, 2028. The Company shall also pay to UNMRI certain royalties on commercial sublicenses and on gross receipts from sale of commercial reactors, subject to minimum annual royalties of $65,000 from the calendar year 2028 onwards. As of May 31, 2026, $20,685 (November 30, 2025 - $29,436) of license maintenance fees were included in accounts payable and accrued liabilities.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Company’s policy is to expense costs incurred to renew, extend or maintain the term of a recognized patent license as incurred.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Patent licenses are amortized on a straight-line basis over their estimated useful lives pursuant to contract terms.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bookmarkStart w:id="1002" w:name="Narr_HuJZm-JmoE62qv5pda8j9A"/>
      <w:bookmarkStart w:id="1003" w:name="Narr_4HvKC2ge402XOx-H9Z4D2Q"/>
      <w:bookmarkStart w:id="1004" w:name="Tc_i6Papms3lEW8pR7EHsOOBw_6_8"/>
      <w:bookmarkStart w:id="1005" w:name="Tc_TQr41YXdqUuGU5Q5067ZvQ_6_5"/>
      <w:bookmarkStart w:id="1006" w:name="Tc_eij2hhzX0UmvwdPXLPmpoA_6_2"/>
      <w:bookmarkStart w:id="1007" w:name="Tc_Pofg1au2Mk2XiQLnnfS-3Q_6_0"/>
      <w:bookmarkStart w:id="1008" w:name="Tc_BD3rU3ednkGh5bdKGvUrVA_5_8"/>
      <w:bookmarkStart w:id="1009" w:name="Tc__0lD1NnO_0y-MG5rPoGDHQ_5_5"/>
      <w:bookmarkStart w:id="1010" w:name="Tc_1ZQ6196_A0Cd4Cy8z5-97w_5_2"/>
      <w:bookmarkStart w:id="1011" w:name="Tc_K-SVrdJFwkuNDSVdY_nJqQ_5_0"/>
      <w:bookmarkStart w:id="1012" w:name="Tc_6_Azjyf7i0SGpkUa78dMRA_4_11"/>
      <w:bookmarkStart w:id="1013" w:name="Tc_QSXvQySK-E6j1h8ZALt2hQ_4_8"/>
      <w:bookmarkStart w:id="1014" w:name="Tc_iPi-5TNIqE2JpR3GfD7jrQ_4_5"/>
      <w:bookmarkStart w:id="1015" w:name="Tc_sM5o_qLDT0a49ZHQ2vv5fQ_4_2"/>
      <w:bookmarkStart w:id="1016" w:name="Tc_Rihs_LriGUunkxO2qPgOSg_3_11"/>
      <w:bookmarkStart w:id="1017" w:name="Tc_0Q-f7BPhjUK2CGuv1wffLg_3_5"/>
      <w:bookmarkStart w:id="1018" w:name="Tc_GfAMeffk1EyoXun3sG5Q3A_2_11"/>
      <w:bookmarkStart w:id="1019" w:name="Tc_TXx8S6MhZE2IiT8Tige33Q_1_11"/>
      <w:bookmarkStart w:id="1020" w:name="_89fdbc29_ca10_4c59_b06c_2dbbec7dda29"/>
      <w:bookmarkStart w:id="1021" w:name="Tc_U9LwvBYY60a_sbov08fmvw_6_8"/>
      <w:bookmarkStart w:id="1022" w:name="Tc_b7o3mMDnnUy9uGJrZiIy2g_6_5"/>
      <w:bookmarkStart w:id="1023" w:name="Tc_aNuFYf7M7Uu1gYnsQypPTQ_6_2"/>
      <w:bookmarkStart w:id="1024" w:name="Tc_Va4qk8Kt1kiRTnSFjtoQtA_6_0"/>
      <w:bookmarkStart w:id="1025" w:name="Tc_FoD-L-4ZG0yYqcoU1FTrGQ_5_8"/>
      <w:bookmarkStart w:id="1026" w:name="Tc_XAZtbF9OM0ephoLQ8-gudg_5_5"/>
      <w:bookmarkStart w:id="1027" w:name="Tc_LuPAHT9CIk2vqsYyTUjLCw_5_2"/>
      <w:bookmarkStart w:id="1028" w:name="Tc_RC6ZK7tBcEmYnpA1y9L4GA_5_0"/>
      <w:bookmarkStart w:id="1029" w:name="Tc_mfmXUvm_0U-t-GGXUtKsWw_4_11"/>
      <w:bookmarkStart w:id="1030" w:name="Tc_MitVtoxUjEC9yinHVmNXtw_4_8"/>
      <w:bookmarkStart w:id="1031" w:name="Tc_UqafDvn2kEy-09ruhJmlOA_4_5"/>
      <w:bookmarkStart w:id="1032" w:name="Tc_47hyv4P6BEeWiD4dP6OWZw_4_2"/>
      <w:bookmarkStart w:id="1033" w:name="Tc_4sasjBsiaEypYk2hYmQrag_3_11"/>
      <w:bookmarkStart w:id="1034" w:name="Tc_F4hCeM1lqkK395NwZePTyQ_3_5"/>
      <w:bookmarkStart w:id="1035" w:name="Tc_KaC8LrYzp0iifmbTn_nx1A_2_11"/>
      <w:bookmarkStart w:id="1036" w:name="Tc_x364U-zXlECCG_LhyjaD1Q_1_11"/>
      <w:bookmarkStart w:id="1037" w:name="_eddd707b_4422_4527_bf91_a7a4997ca977"/>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r>
        <w:rPr>
          <w:rFonts w:ascii="Times New Roman;Times;serif" w:hAnsi="Times New Roman;Times;serif"/>
          <w:sz w:val="20"/>
        </w:rPr>
        <w:t>The Company’s intangible assets as of May 31, 2026, are as follows:</w:t>
      </w:r>
    </w:p>
    <w:tbl>
      <w:tblPr>
        <w:tblW w:w="7840" w:type="dxa"/>
        <w:jc w:val="left"/>
        <w:tblInd w:w="0" w:type="dxa"/>
        <w:tblLayout w:type="fixed"/>
        <w:tblCellMar>
          <w:top w:w="0" w:type="dxa"/>
          <w:left w:w="0" w:type="dxa"/>
          <w:bottom w:w="0" w:type="dxa"/>
          <w:right w:w="0" w:type="dxa"/>
        </w:tblCellMar>
      </w:tblPr>
      <w:tblGrid>
        <w:gridCol w:w="2221"/>
        <w:gridCol w:w="346"/>
        <w:gridCol w:w="239"/>
        <w:gridCol w:w="767"/>
        <w:gridCol w:w="346"/>
        <w:gridCol w:w="270"/>
        <w:gridCol w:w="811"/>
        <w:gridCol w:w="346"/>
        <w:gridCol w:w="211"/>
        <w:gridCol w:w="676"/>
        <w:gridCol w:w="346"/>
        <w:gridCol w:w="1261"/>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410335" cy="175260"/>
                      <wp:effectExtent l="0" t="0" r="0" b="0"/>
                      <wp:wrapNone/>
                      <wp:docPr id="95" name="Frame95"/>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51765" cy="175260"/>
                      <wp:effectExtent l="0" t="0" r="0" b="0"/>
                      <wp:wrapNone/>
                      <wp:docPr id="97" name="Frame9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87045" cy="175260"/>
                      <wp:effectExtent l="0" t="0" r="0" b="0"/>
                      <wp:wrapNone/>
                      <wp:docPr id="98" name="Frame98"/>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71450" cy="175260"/>
                      <wp:effectExtent l="0" t="0" r="0" b="0"/>
                      <wp:wrapNone/>
                      <wp:docPr id="100" name="Frame100"/>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14985" cy="175260"/>
                      <wp:effectExtent l="0" t="0" r="0" b="0"/>
                      <wp:wrapNone/>
                      <wp:docPr id="101" name="Frame10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29260" cy="175260"/>
                      <wp:effectExtent l="0" t="0" r="0" b="0"/>
                      <wp:wrapNone/>
                      <wp:docPr id="104" name="Frame1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800735" cy="175260"/>
                      <wp:effectExtent l="0" t="0" r="0" b="0"/>
                      <wp:wrapNone/>
                      <wp:docPr id="106" name="Frame106"/>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39"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70"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 Life</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Assets</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Assets</w:t>
            </w:r>
          </w:p>
        </w:tc>
        <w:tc>
          <w:tcPr>
            <w:tcW w:w="346" w:type="dxa"/>
            <w:tcBorders/>
            <w:vAlign w:val="center"/>
          </w:tcPr>
          <w:p>
            <w:pPr>
              <w:pStyle w:val="TableContents"/>
              <w:bidi w:val="0"/>
              <w:spacing w:before="0" w:after="0"/>
              <w:ind w:left="0" w:right="0" w:hanging="0"/>
              <w:jc w:val="left"/>
              <w:rPr/>
            </w:pPr>
            <w:r>
              <w:rPr/>
              <w:t>  ​ ​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 licenses</w:t>
            </w:r>
          </w:p>
        </w:tc>
        <w:tc>
          <w:tcPr>
            <w:tcW w:w="346" w:type="dxa"/>
            <w:tcBorders/>
            <w:shd w:fill="CCEEFF" w:val="clear"/>
            <w:vAlign w:val="center"/>
          </w:tcPr>
          <w:p>
            <w:pPr>
              <w:pStyle w:val="TableContents"/>
              <w:bidi w:val="0"/>
              <w:spacing w:before="0" w:after="0"/>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99,888</w:t>
            </w:r>
          </w:p>
        </w:tc>
        <w:tc>
          <w:tcPr>
            <w:tcW w:w="346" w:type="dxa"/>
            <w:tcBorders/>
            <w:shd w:fill="CCEEFF" w:val="clear"/>
            <w:vAlign w:val="center"/>
          </w:tcPr>
          <w:p>
            <w:pPr>
              <w:pStyle w:val="TableContents"/>
              <w:bidi w:val="0"/>
              <w:spacing w:before="0" w:after="0"/>
              <w:ind w:left="0" w:right="0" w:hanging="0"/>
              <w:jc w:val="left"/>
              <w:rPr/>
            </w:pPr>
            <w:r>
              <w:rPr/>
              <w:t> </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96,450</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 net</w:t>
            </w:r>
          </w:p>
        </w:tc>
        <w:tc>
          <w:tcPr>
            <w:tcW w:w="3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99,888</w:t>
            </w:r>
          </w:p>
        </w:tc>
        <w:tc>
          <w:tcPr>
            <w:tcW w:w="346"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96,450</w:t>
            </w:r>
          </w:p>
        </w:tc>
        <w:tc>
          <w:tcPr>
            <w:tcW w:w="346" w:type="dxa"/>
            <w:tcBorders/>
            <w:vAlign w:val="center"/>
          </w:tcPr>
          <w:p>
            <w:pPr>
              <w:pStyle w:val="TableContents"/>
              <w:bidi w:val="0"/>
              <w:spacing w:before="0" w:after="0"/>
              <w:ind w:left="0" w:right="0" w:hanging="0"/>
              <w:jc w:val="left"/>
              <w:rPr/>
            </w:pPr>
            <w:r>
              <w:rPr/>
              <w:t> </w:t>
            </w:r>
          </w:p>
        </w:tc>
        <w:tc>
          <w:tcPr>
            <w:tcW w:w="12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19.3</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Company’s intangible assets as of November 30, 2025, are as follows:</w:t>
      </w:r>
    </w:p>
    <w:tbl>
      <w:tblPr>
        <w:tblW w:w="7780" w:type="dxa"/>
        <w:jc w:val="left"/>
        <w:tblInd w:w="0" w:type="dxa"/>
        <w:tblLayout w:type="fixed"/>
        <w:tblCellMar>
          <w:top w:w="0" w:type="dxa"/>
          <w:left w:w="0" w:type="dxa"/>
          <w:bottom w:w="0" w:type="dxa"/>
          <w:right w:w="0" w:type="dxa"/>
        </w:tblCellMar>
      </w:tblPr>
      <w:tblGrid>
        <w:gridCol w:w="2221"/>
        <w:gridCol w:w="346"/>
        <w:gridCol w:w="225"/>
        <w:gridCol w:w="721"/>
        <w:gridCol w:w="346"/>
        <w:gridCol w:w="270"/>
        <w:gridCol w:w="811"/>
        <w:gridCol w:w="346"/>
        <w:gridCol w:w="211"/>
        <w:gridCol w:w="676"/>
        <w:gridCol w:w="346"/>
        <w:gridCol w:w="1261"/>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410335" cy="175260"/>
                      <wp:effectExtent l="0" t="0" r="0" b="0"/>
                      <wp:wrapNone/>
                      <wp:docPr id="107" name="Frame107"/>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42875" cy="175260"/>
                      <wp:effectExtent l="0" t="0" r="0" b="0"/>
                      <wp:wrapNone/>
                      <wp:docPr id="109" name="Frame109"/>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57835" cy="175260"/>
                      <wp:effectExtent l="0" t="0" r="0" b="0"/>
                      <wp:wrapNone/>
                      <wp:docPr id="110" name="Frame11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71450" cy="175260"/>
                      <wp:effectExtent l="0" t="0" r="0" b="0"/>
                      <wp:wrapNone/>
                      <wp:docPr id="112" name="Frame112"/>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14985" cy="175260"/>
                      <wp:effectExtent l="0" t="0" r="0" b="0"/>
                      <wp:wrapNone/>
                      <wp:docPr id="113" name="Frame11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29260" cy="175260"/>
                      <wp:effectExtent l="0" t="0" r="0" b="0"/>
                      <wp:wrapNone/>
                      <wp:docPr id="116" name="Frame1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800735" cy="175260"/>
                      <wp:effectExtent l="0" t="0" r="0" b="0"/>
                      <wp:wrapNone/>
                      <wp:docPr id="118" name="Frame118"/>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5"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70"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70"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 Life</w:t>
            </w:r>
          </w:p>
        </w:tc>
      </w:tr>
      <w:tr>
        <w:trPr/>
        <w:tc>
          <w:tcPr>
            <w:tcW w:w="22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Asset</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Assets</w:t>
            </w:r>
          </w:p>
        </w:tc>
        <w:tc>
          <w:tcPr>
            <w:tcW w:w="346" w:type="dxa"/>
            <w:tcBorders/>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 licenses</w:t>
            </w:r>
          </w:p>
        </w:tc>
        <w:tc>
          <w:tcPr>
            <w:tcW w:w="346" w:type="dxa"/>
            <w:tcBorders/>
            <w:shd w:fill="CCEEFF" w:val="clear"/>
            <w:vAlign w:val="center"/>
          </w:tcPr>
          <w:p>
            <w:pPr>
              <w:pStyle w:val="TableContents"/>
              <w:bidi w:val="0"/>
              <w:spacing w:before="0" w:after="0"/>
              <w:ind w:left="0" w:right="0" w:hanging="0"/>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67,430</w:t>
            </w:r>
          </w:p>
        </w:tc>
        <w:tc>
          <w:tcPr>
            <w:tcW w:w="346" w:type="dxa"/>
            <w:tcBorders/>
            <w:shd w:fill="CCEEFF" w:val="clear"/>
            <w:vAlign w:val="center"/>
          </w:tcPr>
          <w:p>
            <w:pPr>
              <w:pStyle w:val="TableContents"/>
              <w:bidi w:val="0"/>
              <w:spacing w:before="0" w:after="0"/>
              <w:ind w:left="0" w:right="0" w:hanging="0"/>
              <w:jc w:val="left"/>
              <w:rPr/>
            </w:pPr>
            <w:r>
              <w:rPr/>
              <w:t> </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65,915</w:t>
            </w:r>
          </w:p>
        </w:tc>
        <w:tc>
          <w:tcPr>
            <w:tcW w:w="346" w:type="dxa"/>
            <w:tcBorders/>
            <w:shd w:fill="CCEEFF" w:val="clear"/>
            <w:vAlign w:val="center"/>
          </w:tcPr>
          <w:p>
            <w:pPr>
              <w:pStyle w:val="TableContents"/>
              <w:bidi w:val="0"/>
              <w:spacing w:before="0" w:after="0"/>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 net</w:t>
            </w:r>
          </w:p>
        </w:tc>
        <w:tc>
          <w:tcPr>
            <w:tcW w:w="346" w:type="dxa"/>
            <w:tcBorders/>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67,430</w:t>
            </w:r>
          </w:p>
        </w:tc>
        <w:tc>
          <w:tcPr>
            <w:tcW w:w="346"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65,915</w:t>
            </w:r>
          </w:p>
        </w:tc>
        <w:tc>
          <w:tcPr>
            <w:tcW w:w="346" w:type="dxa"/>
            <w:tcBorders/>
            <w:vAlign w:val="center"/>
          </w:tcPr>
          <w:p>
            <w:pPr>
              <w:pStyle w:val="TableContents"/>
              <w:bidi w:val="0"/>
              <w:spacing w:before="0" w:after="0"/>
              <w:ind w:left="0" w:right="0" w:hanging="0"/>
              <w:jc w:val="left"/>
              <w:rPr/>
            </w:pPr>
            <w:r>
              <w:rPr/>
              <w:t> </w:t>
            </w:r>
          </w:p>
        </w:tc>
        <w:tc>
          <w:tcPr>
            <w:tcW w:w="12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19.5</w:t>
            </w:r>
          </w:p>
        </w:tc>
      </w:tr>
    </w:tbl>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Aggregate amortization expense was $942 and $1,923 for the three and six months ended May 31, 2026, respectively (for the three and six months ended May 31, 2025, respectively - $Nil). Amortization expense is expected to be approximately $5,000 </w:t>
      </w:r>
      <w:r>
        <w:rPr>
          <w:rFonts w:ascii="Times New Roman;Times;serif" w:hAnsi="Times New Roman;Times;serif"/>
          <w:b w:val="false"/>
          <w:i w:val="false"/>
          <w:caps w:val="false"/>
          <w:smallCaps w:val="false"/>
          <w:sz w:val="20"/>
        </w:rPr>
        <w:t>per</w:t>
      </w:r>
      <w:r>
        <w:rPr>
          <w:rFonts w:ascii="Times New Roman;Times;serif" w:hAnsi="Times New Roman;Times;serif"/>
          <w:sz w:val="20"/>
        </w:rPr>
        <w:t> </w:t>
      </w:r>
      <w:r>
        <w:rPr>
          <w:rFonts w:ascii="Times New Roman;Times;serif" w:hAnsi="Times New Roman;Times;serif"/>
          <w:b w:val="false"/>
          <w:i w:val="false"/>
          <w:caps w:val="false"/>
          <w:smallCaps w:val="false"/>
          <w:sz w:val="20"/>
        </w:rPr>
        <w:t>year</w:t>
      </w:r>
      <w:r>
        <w:rPr>
          <w:rFonts w:ascii="Times New Roman;Times;serif" w:hAnsi="Times New Roman;Times;serif"/>
          <w:sz w:val="20"/>
        </w:rPr>
        <w:t xml:space="preserve"> for each of the next five fiscal years.</w:t>
      </w:r>
    </w:p>
    <w:p>
      <w:pPr>
        <w:pStyle w:val="TextBody"/>
        <w:bidi w:val="0"/>
        <w:spacing w:before="0" w:after="240"/>
        <w:ind w:left="360" w:right="0" w:hanging="0"/>
        <w:jc w:val="both"/>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MINERAL RIGHTS</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Aurora Uranium Project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November 18, 2024 (the “Option Effective Date”), Eagle Energy entered into the Aurora Option Agreement with Aurora Energy and its then-wholly owned subsidiary Oregon Energy who, through Oregon Energy, is the owner of 100% interest in the AUP. As part of the Aurora Option Agreement, Aurora Energy, agreed to grant Eagle Energy the sole, exclusive option to acquire all of the issued and outstanding equity interests in Oregon Energy. The option was exercised on February 24, 2026 (Note 5), upon which Eagle Energy acquired 100% of Oregon Energy including all of its right, title and interest in the AUP.</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order to exercise the option, Eagle Energy was required to:</w:t>
      </w:r>
    </w:p>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Pay $300,000</w:t>
            </w:r>
            <w:r>
              <w:rPr>
                <w:caps w:val="false"/>
                <w:smallCaps w:val="false"/>
              </w:rPr>
              <w:t xml:space="preserve"> </w:t>
            </w:r>
            <w:r>
              <w:rPr>
                <w:rFonts w:ascii="Times New Roman;Times;serif" w:hAnsi="Times New Roman;Times;serif"/>
                <w:b w:val="false"/>
                <w:i w:val="false"/>
                <w:caps w:val="false"/>
                <w:smallCaps w:val="false"/>
                <w:sz w:val="20"/>
              </w:rPr>
              <w:t>cash consideration on or before December 18, 2024 (paid)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a measured and/or indicated SK1300 technical report and mineral resource estimate (an “SK1300 Report”) for the project, in accordance with the standards of Subpart 1300 of Regulation S-K of the Securities Act (completed);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Issue shares of common stock in Eagle Energy with a value of $16,000,000</w:t>
            </w:r>
            <w:r>
              <w:rPr>
                <w:caps w:val="false"/>
                <w:smallCaps w:val="false"/>
              </w:rPr>
              <w:t xml:space="preserve"> </w:t>
            </w:r>
            <w:r>
              <w:rPr>
                <w:rFonts w:ascii="Times New Roman;Times;serif" w:hAnsi="Times New Roman;Times;serif"/>
                <w:b w:val="false"/>
                <w:i w:val="false"/>
                <w:caps w:val="false"/>
                <w:smallCaps w:val="false"/>
                <w:sz w:val="20"/>
              </w:rPr>
              <w:t>(“Aurora Option Payment Shares”) on the closing date (issued) of:</w:t>
            </w:r>
          </w:p>
        </w:tc>
      </w:tr>
    </w:tbl>
    <w:tbl>
      <w:tblPr>
        <w:tblW w:w="9036" w:type="dxa"/>
        <w:jc w:val="left"/>
        <w:tblInd w:w="0" w:type="dxa"/>
        <w:tblLayout w:type="fixed"/>
        <w:tblCellMar>
          <w:top w:w="0" w:type="dxa"/>
          <w:left w:w="0" w:type="dxa"/>
          <w:bottom w:w="0" w:type="dxa"/>
          <w:right w:w="0" w:type="dxa"/>
        </w:tblCellMar>
      </w:tblPr>
      <w:tblGrid>
        <w:gridCol w:w="124"/>
        <w:gridCol w:w="211"/>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w:t>
            </w:r>
          </w:p>
        </w:tc>
        <w:tc>
          <w:tcPr>
            <w:tcW w:w="870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initial public offering of Eagle Energy’s shares and listing thereof on a national securities exchange, or</w:t>
            </w:r>
          </w:p>
        </w:tc>
      </w:tr>
    </w:tbl>
    <w:tbl>
      <w:tblPr>
        <w:tblW w:w="9471" w:type="dxa"/>
        <w:jc w:val="left"/>
        <w:tblInd w:w="0" w:type="dxa"/>
        <w:tblLayout w:type="fixed"/>
        <w:tblCellMar>
          <w:top w:w="0" w:type="dxa"/>
          <w:left w:w="0" w:type="dxa"/>
          <w:bottom w:w="0" w:type="dxa"/>
          <w:right w:w="0" w:type="dxa"/>
        </w:tblCellMar>
      </w:tblPr>
      <w:tblGrid>
        <w:gridCol w:w="124"/>
        <w:gridCol w:w="211"/>
        <w:gridCol w:w="9136"/>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w:t>
            </w:r>
          </w:p>
        </w:tc>
        <w:tc>
          <w:tcPr>
            <w:tcW w:w="913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different transaction which results in the listing of Eagle Energy’s shares on a national securities exchange, or</w:t>
            </w:r>
          </w:p>
        </w:tc>
      </w:tr>
    </w:tbl>
    <w:tbl>
      <w:tblPr>
        <w:tblW w:w="10205" w:type="dxa"/>
        <w:jc w:val="left"/>
        <w:tblInd w:w="0" w:type="dxa"/>
        <w:tblLayout w:type="fixed"/>
        <w:tblCellMar>
          <w:top w:w="0" w:type="dxa"/>
          <w:left w:w="0" w:type="dxa"/>
          <w:bottom w:w="0" w:type="dxa"/>
          <w:right w:w="0" w:type="dxa"/>
        </w:tblCellMar>
      </w:tblPr>
      <w:tblGrid>
        <w:gridCol w:w="124"/>
        <w:gridCol w:w="211"/>
        <w:gridCol w:w="9870"/>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w:t>
            </w:r>
          </w:p>
        </w:tc>
        <w:tc>
          <w:tcPr>
            <w:tcW w:w="98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acquisition of substantially all Eagle Energy’s outstanding equity securities or substantially all of Eagle Energy’s assets by a public company with common equity that is listed on a national securities exchange, in each case prior to May 18, 2025 (the “Listing Event”); and</w:t>
            </w:r>
          </w:p>
        </w:tc>
      </w:tr>
    </w:tbl>
    <w:tbl>
      <w:tblPr>
        <w:tblW w:w="6681" w:type="dxa"/>
        <w:jc w:val="left"/>
        <w:tblInd w:w="0" w:type="dxa"/>
        <w:tblLayout w:type="fixed"/>
        <w:tblCellMar>
          <w:top w:w="28" w:type="dxa"/>
          <w:left w:w="28" w:type="dxa"/>
          <w:bottom w:w="28" w:type="dxa"/>
          <w:right w:w="28" w:type="dxa"/>
        </w:tblCellMar>
      </w:tblPr>
      <w:tblGrid>
        <w:gridCol w:w="124"/>
        <w:gridCol w:w="256"/>
        <w:gridCol w:w="6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0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Raise a minimum of $6,800,000</w:t>
            </w:r>
            <w:r>
              <w:rPr>
                <w:caps w:val="false"/>
                <w:smallCaps w:val="false"/>
              </w:rPr>
              <w:t xml:space="preserve"> </w:t>
            </w:r>
            <w:r>
              <w:rPr>
                <w:rFonts w:ascii="Times New Roman;Times;serif" w:hAnsi="Times New Roman;Times;serif"/>
                <w:b w:val="false"/>
                <w:i w:val="false"/>
                <w:caps w:val="false"/>
                <w:smallCaps w:val="false"/>
                <w:sz w:val="20"/>
              </w:rPr>
              <w:t>in connection with the Listing Event (met).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Grant Aurora Energy a 1%</w:t>
            </w:r>
            <w:r>
              <w:rPr>
                <w:caps w:val="false"/>
                <w:smallCaps w:val="false"/>
              </w:rPr>
              <w:t xml:space="preserve"> </w:t>
            </w:r>
            <w:r>
              <w:rPr>
                <w:rFonts w:ascii="Times New Roman;Times;serif" w:hAnsi="Times New Roman;Times;serif"/>
                <w:b w:val="false"/>
                <w:i w:val="false"/>
                <w:caps w:val="false"/>
                <w:smallCaps w:val="false"/>
                <w:sz w:val="20"/>
              </w:rPr>
              <w:t>NSR in the project’s future revenue (granted), half or all of which may be repurchased by the company for consideration of $1,000,000</w:t>
            </w:r>
            <w:r>
              <w:rPr>
                <w:caps w:val="false"/>
                <w:smallCaps w:val="false"/>
              </w:rPr>
              <w:t xml:space="preserve"> </w:t>
            </w:r>
            <w:r>
              <w:rPr>
                <w:rFonts w:ascii="Times New Roman;Times;serif" w:hAnsi="Times New Roman;Times;serif"/>
                <w:b w:val="false"/>
                <w:i w:val="false"/>
                <w:caps w:val="false"/>
                <w:smallCaps w:val="false"/>
                <w:sz w:val="20"/>
              </w:rPr>
              <w:t>or $2,000,000, respectively, prior to commencement of the project’s commercial operations;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Aurora Option Agreement provided for up to two six-month extensions to the date of the Listing Event, each subject to additional consideration. For the first extension, Eagle Energy was required to pay $300,000 to Aurora Energy and fund $250,000 of Oregon Energy’s mining expenditures. For the second extension, Eagle Energy was required to pay $400,000 and fund an additional $250,000 of such expenditures.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May 18, 2025, Eagle Energy exercised its right to the first six-month extension and made an additional payment of $300,000 to Aurora Energy. On November 18, 2025, Eagle Energy exercised its right to the second six-month extension and made an additional payment of $400,000 to Aurora Energy. As part of the extensions, Eagle Energy was obligated to reimburse up to $500,000 of mining operations expenditures of Oregon Energy. As of February 24, 2026, prior to the exercise of the option (Note 5), Eagle Energy made reimbursements totaling $219,545.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November 26, 2025, Eagle Energy, Aurora Energy, and Oregon Energy executed a First Amendment to the Property Option Agreement. The amendment (i) revised the second extension to complete a Listing Event from a six month period (deadline of May 18, 2026) to a 225 day period (deadline of July 2, 2026), and (ii) provides that the Resource Payment provisions under which Aurora Energy may be entitled to additional payment shares as mentioned hereinafter are amended such that the determination is made following the next newly prepared SK1300 mineral resource update published by the Company.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24, 2026, immediately before the completion of the de-SPAC transaction (Note 4), Eagle Energy, Aurora Energy, and Oregon Energy executed a Second Amendment to the Property Option Agreement. The amendment (i) confirmed the number of Aurora Option Payment Shares to be issued, (ii) set the deadline for grant of NSR to Aurora Energy to be on or before 10 business days after the closing date, and (iii) clarified certain terms and conditions of the Aurora Option Agreement, including terms related to the Resource Payment and the Pre-Feasibility Bonus (as hereinafter defined) are intended to survive closing until those covenants have been fully performed.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number of Aurora Option Payment Shares to be issued was to be adjusted to provide for additional shares based on an increase in uranium spot price over the period between the Option Effective Date and the Listing Event, equal to the product of (I) 50% of the percentage increase in the spot price and (II) the number of Aurora Option Payment Shares associated with the initial $16,000,000 valuation. If the spot price does not increase, there will be no adjustment to the number of Aurora Option Payment Shares. The value of Aurora Option Payment Shares was adjusted to be $17,109,910 on February 24, 2026, immediately before closing (Note 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Aurora Energy may be entitled to additional payment shares (the “Resource Payment”). If the Company identifies a measured and/or indicated mineral resource, in its next newly prepared SK1300 mineral resources update, of at least 40 million pounds of U3O8, Aurora Energy will be entitled to receive $4,000,000 in Resource Payment. Each additional 1,000,000 pounds of U3O8 above 40 million pounds will further increase the total value of the Resource Payment by $200,000, up to a maximum of $1,000,000, resulting in an overall maximum of $5,000,000 of Resource Payment. The number of shares issuable for a Resource Payment is calculated based on the 30-day volume-weighted average trading price (“VWAP”) of the Company’s shares for the 30 trading days prior to the date of the announcement of the SK1300 mineral resource update.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Further, upon completion of a positive pre-feasibility study on the project following a Listing Event, the Company will issue to Aurora Energy additional payment shares (the “Pre-Feasibility Bonus”) with a value of $5,000,000, determined by the 30-day VWAP of the Company’s shares during the 30 days prior to the announcement of the pre-feasibility study.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24, 2026, the Company completed the acquisition of Oregon Energy (Note 5). The number of Aurora Option Payment Shares issued by the Company was calculated based on the deemed transaction price in the BCA of the de-SPAC transaction (Note 4) of $10 per share, as Eagle Energy completed the Listing Event by way of a de-SPAC transaction with SVII on February 24, 2026, with the Company becoming the parent of Eagle Energy and obtaining a listing on Nasdaq. As such, the number of shares issued was 1,710,991. Based on a relative fair value allocation, $12,755,725 of the total cash and share consideration paid was allocated to the mineral rights acquired as a result of the acquisition of Oregon Energy.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bookmarkStart w:id="1038" w:name="Tc_CBxJ4fFSq0-UA6sbrECrag_8_2"/>
      <w:bookmarkStart w:id="1039" w:name="Tc_LVA6Sn36EU66zvciCGr20w_8_0"/>
      <w:bookmarkStart w:id="1040" w:name="Tc_uSaM29ERmkKbIX4AXc91vg_7_0"/>
      <w:bookmarkStart w:id="1041" w:name="Tc_6CO5bYe-3EavmYXmQERe9A_6_0"/>
      <w:bookmarkStart w:id="1042" w:name="Tc_CP6HdsawB0OqZocxHJ0ppQ_5_0"/>
      <w:bookmarkStart w:id="1043" w:name="Tc_cVRWNnjcrEWV9E8KSYzYbQ_4_0"/>
      <w:bookmarkStart w:id="1044" w:name="Tc_gUAKxWsunk-dZ9bdHANnJg_3_0"/>
      <w:bookmarkStart w:id="1045" w:name="Tc_UGtyk_YNE0SEWhzoaMKCxg_2_3"/>
      <w:bookmarkStart w:id="1046" w:name="Tc_qijxQ2Jhm0-iBdndIUTYBQ_2_2"/>
      <w:bookmarkStart w:id="1047" w:name="Tc_-NUCF3YIoUSEn8Cg6YA3FQ_2_0"/>
      <w:bookmarkStart w:id="1048" w:name="Tc_bK8-qF_AA02FGhpT1nUrJA_1_2"/>
      <w:bookmarkEnd w:id="1038"/>
      <w:bookmarkEnd w:id="1039"/>
      <w:bookmarkEnd w:id="1040"/>
      <w:bookmarkEnd w:id="1041"/>
      <w:bookmarkEnd w:id="1042"/>
      <w:bookmarkEnd w:id="1043"/>
      <w:bookmarkEnd w:id="1044"/>
      <w:bookmarkEnd w:id="1045"/>
      <w:bookmarkEnd w:id="1046"/>
      <w:bookmarkEnd w:id="1047"/>
      <w:bookmarkEnd w:id="1048"/>
      <w:r>
        <w:rPr>
          <w:rFonts w:ascii="Times New Roman;Times;serif" w:hAnsi="Times New Roman;Times;serif"/>
          <w:sz w:val="20"/>
        </w:rPr>
        <w:t>The Company capitalized the following acquisition costs for the payments made to Aurora Energy beginning on November 30, 2024 through May 31, 2026.</w:t>
      </w:r>
    </w:p>
    <w:p>
      <w:pPr>
        <w:pStyle w:val="TextBody"/>
        <w:bidi w:val="0"/>
        <w:spacing w:before="0" w:after="0"/>
        <w:ind w:left="0" w:right="0" w:hanging="0"/>
        <w:jc w:val="left"/>
        <w:rPr/>
      </w:pPr>
      <w:r>
        <w:rPr/>
        <w:t>​</w:t>
      </w:r>
    </w:p>
    <w:tbl>
      <w:tblPr>
        <w:tblW w:w="6663" w:type="dxa"/>
        <w:jc w:val="left"/>
        <w:tblInd w:w="0" w:type="dxa"/>
        <w:tblLayout w:type="fixed"/>
        <w:tblCellMar>
          <w:top w:w="0" w:type="dxa"/>
          <w:left w:w="0" w:type="dxa"/>
          <w:bottom w:w="0" w:type="dxa"/>
          <w:right w:w="0" w:type="dxa"/>
        </w:tblCellMar>
      </w:tblPr>
      <w:tblGrid>
        <w:gridCol w:w="4231"/>
        <w:gridCol w:w="346"/>
        <w:gridCol w:w="325"/>
        <w:gridCol w:w="1761"/>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686685" cy="175260"/>
                      <wp:effectExtent l="0" t="0" r="0" b="0"/>
                      <wp:wrapNone/>
                      <wp:docPr id="119" name="Frame119"/>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6375" cy="175260"/>
                      <wp:effectExtent l="0" t="0" r="0" b="0"/>
                      <wp:wrapNone/>
                      <wp:docPr id="121" name="Frame121"/>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118235" cy="175260"/>
                      <wp:effectExtent l="0" t="0" r="0" b="0"/>
                      <wp:wrapNone/>
                      <wp:docPr id="122" name="Frame122"/>
                      <a:graphic xmlns:a="http://schemas.openxmlformats.org/drawingml/2006/main">
                        <a:graphicData uri="http://schemas.microsoft.com/office/word/2010/wordprocessingShape">
                          <wps:wsp>
                            <wps:cNvSpPr txBox="1"/>
                            <wps:spPr>
                              <a:xfrm>
                                <a:off x="0" y="0"/>
                                <a:ext cx="1118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Aurora Uranium Property</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November 30, 2024</w:t>
            </w:r>
          </w:p>
        </w:tc>
        <w:tc>
          <w:tcPr>
            <w:tcW w:w="346" w:type="dxa"/>
            <w:tcBorders/>
            <w:shd w:fill="CCEEFF" w:val="clear"/>
            <w:vAlign w:val="center"/>
          </w:tcPr>
          <w:p>
            <w:pPr>
              <w:pStyle w:val="TableContents"/>
              <w:bidi w:val="0"/>
              <w:spacing w:before="0" w:after="0"/>
              <w:ind w:left="0" w:right="0" w:hanging="0"/>
              <w:jc w:val="left"/>
              <w:rPr/>
            </w:pPr>
            <w:r>
              <w:rPr/>
              <w:t> </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761"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option payment</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1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1,000,000</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Reimbursement of mining operations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201,390</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November 30, 2025</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17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1,201,390</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Reimbursement of mining operations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1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18,155</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common stock (Note 5)</w:t>
            </w:r>
          </w:p>
        </w:tc>
        <w:tc>
          <w:tcPr>
            <w:tcW w:w="346" w:type="dxa"/>
            <w:tcBorders/>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11,536,180</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May 31, 2026</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76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12,755,725</w:t>
            </w:r>
          </w:p>
        </w:tc>
      </w:tr>
    </w:tbl>
    <w:p>
      <w:pPr>
        <w:pStyle w:val="TextBody"/>
        <w:bidi w:val="0"/>
        <w:spacing w:before="0" w:after="0"/>
        <w:ind w:left="36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aggregate maximum Resource Payment and Pre-Feasibility Bonus potentially payable to Aurora Energy is $10,000,000, payable in additional payment shares. This contingent consideration was not included in the cost of the acquired mineral rights recognized at the closing date and will be recognized as an addition to the cost basis of the asset if and when the applicable milestone is achieved and the obligation becomes probable. As of May 31, 2026, neither milestone had been achieved. The Company currently expects a pre-feasibility study to be completed by the end of calendar year 2027. The Company expects to prepare its next SK1300 mineral resources update in connection with the completion of the pre-feasibility study.</w:t>
      </w:r>
    </w:p>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sz w:val="20"/>
        </w:rPr>
      </w:pPr>
      <w:bookmarkStart w:id="1049" w:name="Tc_0aiOJQVCSEC0vEsvc-4_Yg_7_6"/>
      <w:bookmarkStart w:id="1050" w:name="Tc_Uia6dn9K1EOc0YZhNkCDpQ_7_5"/>
      <w:bookmarkStart w:id="1051" w:name="Tc_F8UPlajfYkGWi8zgUm-nWw_7_2"/>
      <w:bookmarkStart w:id="1052" w:name="Tc_6WCyUuq2q0CQdaAlvzXgjA_7_0"/>
      <w:bookmarkStart w:id="1053" w:name="Tc_IZurxJKlck-7SVvNQBFV_A_6_6"/>
      <w:bookmarkStart w:id="1054" w:name="Tc_4dwX5WdeIkOTO0vGd24tyQ_6_5"/>
      <w:bookmarkStart w:id="1055" w:name="Tc_hQ3gOGBMH0-cXhYJX2gagA_6_2"/>
      <w:bookmarkStart w:id="1056" w:name="Tc_WR90h_vBg0qL4ZOeLTDCZg_6_0"/>
      <w:bookmarkStart w:id="1057" w:name="Tc_tz3xHOec-ka-shUeQf10qQ_5_6"/>
      <w:bookmarkStart w:id="1058" w:name="Tc_ywwbad99F0Gab5nTUBMUug_5_0"/>
      <w:bookmarkStart w:id="1059" w:name="Tc_aVhh_y2ov0a1tVIhZN-kxQ_4_6"/>
      <w:bookmarkStart w:id="1060" w:name="Tc_Gj2no9pHkUOMbbROAFqQHA_4_5"/>
      <w:bookmarkStart w:id="1061" w:name="Tc_WAcHFFD7d0yx_Wip_q5VMQ_4_2"/>
      <w:bookmarkStart w:id="1062" w:name="Tc_T0Z2uvfVyki90AVF-lZRqw_4_0"/>
      <w:bookmarkStart w:id="1063" w:name="Tc_fgenL596LEuUzYwB-JrZEQ_3_0"/>
      <w:bookmarkStart w:id="1064" w:name="Tc_3EYmeZYvmEOU4mVxNAB4Dg_2_5"/>
      <w:bookmarkStart w:id="1065" w:name="Tc_qi7Xf2PyGEmB9unPHk7b-g_2_2"/>
      <w:bookmarkStart w:id="1066" w:name="Tc_U_bsRmlbkkabZVyprRk80A_1_5"/>
      <w:bookmarkStart w:id="1067" w:name="Tc_kVdR3N028ES_PHg1kS1ZaA_1_2"/>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r>
        <w:rPr>
          <w:rFonts w:ascii="Times New Roman;Times;serif" w:hAnsi="Times New Roman;Times;serif"/>
          <w:b/>
          <w:i w:val="false"/>
          <w:caps w:val="false"/>
          <w:smallCaps w:val="false"/>
          <w:sz w:val="20"/>
        </w:rPr>
        <w:t>10.</w:t>
      </w:r>
      <w:r>
        <w:rPr>
          <w:rFonts w:ascii="Times New Roman;Times;serif" w:hAnsi="Times New Roman;Times;serif"/>
          <w:b/>
          <w:sz w:val="20"/>
        </w:rPr>
        <w:t>OPERATING LEASES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October 16, 2025, the Company entered into an office lease agreement in New York, NY for </w:t>
      </w:r>
      <w:r>
        <w:rPr>
          <w:rFonts w:ascii="Times New Roman;Times;serif" w:hAnsi="Times New Roman;Times;serif"/>
          <w:b w:val="false"/>
          <w:i w:val="false"/>
          <w:caps w:val="false"/>
          <w:smallCaps w:val="false"/>
          <w:sz w:val="20"/>
        </w:rPr>
        <w:t>5 years and 2 months</w:t>
      </w:r>
      <w:r>
        <w:rPr>
          <w:rFonts w:ascii="Times New Roman;Times;serif" w:hAnsi="Times New Roman;Times;serif"/>
          <w:sz w:val="20"/>
        </w:rPr>
        <w:t xml:space="preserve"> from the lease commencement date, which is defined as the first business day following the substantial completion of the landlord’s work and delivery of possession of the premises to the Company. The lease commencement date was determined to be January 1, 2026, when the Company obtained possession of the premises. Lease liabilities are measured at the commencement date based on the present value of future lease payments.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November 3, 2025, the Company entered into an office lease agreement in Vancouver, Canada for 2 years. Lease liabilities are measured at the commencement date based on the present value of future lease payments.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the Company’s lease did not provide an implicit rate, the Company uses its incremental borrowing rate based on the information available at the commencement date in determining the present value of future payments. The Company used a discount rate of 10.00% in determining its lease liabilities.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discount is the rate of interest that the Company would have to pay to borrow over a similar term, and with a similar security, the funds necessary to obtain an asset of comparable value to the right-of-use asset in a similar economic environment. The discount rate therefore reflects what the Company “would have to pay”, which requires estimation when no observable rates are available or where the applicable rates need to be adjusted to reflect the terms and conditions of the lease. The Company estimates the discount using observable inputs (such as market interest rates) when available and is required to make certain entity-specific estimates. The Company determined its discount rates based on the rate used by comparable public companies.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following table presents the net lease cost and other supplemental lease information:</w:t>
      </w:r>
    </w:p>
    <w:p>
      <w:pPr>
        <w:pStyle w:val="TextBody"/>
        <w:bidi w:val="0"/>
        <w:spacing w:before="0" w:after="0"/>
        <w:ind w:left="0" w:right="0" w:hanging="0"/>
        <w:jc w:val="left"/>
        <w:rPr/>
      </w:pPr>
      <w:r>
        <w:rPr/>
        <w:t>​</w:t>
      </w:r>
    </w:p>
    <w:tbl>
      <w:tblPr>
        <w:tblW w:w="7188" w:type="dxa"/>
        <w:jc w:val="left"/>
        <w:tblInd w:w="0" w:type="dxa"/>
        <w:tblLayout w:type="fixed"/>
        <w:tblCellMar>
          <w:top w:w="0" w:type="dxa"/>
          <w:left w:w="0" w:type="dxa"/>
          <w:bottom w:w="0" w:type="dxa"/>
          <w:right w:w="0" w:type="dxa"/>
        </w:tblCellMar>
      </w:tblPr>
      <w:tblGrid>
        <w:gridCol w:w="3301"/>
        <w:gridCol w:w="346"/>
        <w:gridCol w:w="334"/>
        <w:gridCol w:w="1241"/>
        <w:gridCol w:w="346"/>
        <w:gridCol w:w="515"/>
        <w:gridCol w:w="1105"/>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96135" cy="175260"/>
                      <wp:effectExtent l="0" t="0" r="0" b="0"/>
                      <wp:wrapNone/>
                      <wp:docPr id="123" name="Frame123"/>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2090" cy="175260"/>
                      <wp:effectExtent l="0" t="0" r="0" b="0"/>
                      <wp:wrapNone/>
                      <wp:docPr id="125" name="Frame125"/>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788035" cy="175260"/>
                      <wp:effectExtent l="0" t="0" r="0" b="0"/>
                      <wp:wrapNone/>
                      <wp:docPr id="126" name="Frame126"/>
                      <a:graphic xmlns:a="http://schemas.openxmlformats.org/drawingml/2006/main">
                        <a:graphicData uri="http://schemas.microsoft.com/office/word/2010/wordprocessingShape">
                          <wps:wsp>
                            <wps:cNvSpPr txBox="1"/>
                            <wps:spPr>
                              <a:xfrm>
                                <a:off x="0" y="0"/>
                                <a:ext cx="78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327025" cy="175260"/>
                      <wp:effectExtent l="0" t="0" r="0" b="0"/>
                      <wp:wrapNone/>
                      <wp:docPr id="128" name="Frame128"/>
                      <a:graphic xmlns:a="http://schemas.openxmlformats.org/drawingml/2006/main">
                        <a:graphicData uri="http://schemas.microsoft.com/office/word/2010/wordprocessingShape">
                          <wps:wsp>
                            <wps:cNvSpPr txBox="1"/>
                            <wps:spPr>
                              <a:xfrm>
                                <a:off x="0" y="0"/>
                                <a:ext cx="327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701675" cy="175260"/>
                      <wp:effectExtent l="0" t="0" r="0" b="0"/>
                      <wp:wrapNone/>
                      <wp:docPr id="129" name="Frame129"/>
                      <a:graphic xmlns:a="http://schemas.openxmlformats.org/drawingml/2006/main">
                        <a:graphicData uri="http://schemas.microsoft.com/office/word/2010/wordprocessingShape">
                          <wps:wsp>
                            <wps:cNvSpPr txBox="1"/>
                            <wps:spPr>
                              <a:xfrm>
                                <a:off x="0" y="0"/>
                                <a:ext cx="701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c>
          <w:tcPr>
            <w:tcW w:w="346" w:type="dxa"/>
            <w:tcBorders/>
            <w:vAlign w:val="center"/>
          </w:tcPr>
          <w:p>
            <w:pPr>
              <w:pStyle w:val="TableContents"/>
              <w:bidi w:val="0"/>
              <w:spacing w:before="0" w:after="0"/>
              <w:ind w:left="0" w:right="0" w:hanging="0"/>
              <w:jc w:val="left"/>
              <w:rPr/>
            </w:pPr>
            <w:r>
              <w:rPr/>
              <w:t>  ​ ​ ​</w:t>
            </w:r>
          </w:p>
        </w:tc>
        <w:tc>
          <w:tcPr>
            <w:tcW w:w="16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May 31, 2026</w:t>
            </w:r>
          </w:p>
        </w:tc>
        <w:tc>
          <w:tcPr>
            <w:tcW w:w="346" w:type="dxa"/>
            <w:tcBorders/>
            <w:vAlign w:val="center"/>
          </w:tcPr>
          <w:p>
            <w:pPr>
              <w:pStyle w:val="TableContents"/>
              <w:bidi w:val="0"/>
              <w:spacing w:before="0" w:after="0"/>
              <w:ind w:left="0" w:right="0" w:hanging="0"/>
              <w:jc w:val="left"/>
              <w:rPr/>
            </w:pPr>
            <w:r>
              <w:rPr/>
              <w:t>​</w:t>
            </w:r>
          </w:p>
        </w:tc>
        <w:tc>
          <w:tcPr>
            <w:tcW w:w="1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May 31, 2025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pPr>
            <w:r>
              <w:rPr/>
              <w:t>​</w:t>
            </w:r>
          </w:p>
        </w:tc>
        <w:tc>
          <w:tcPr>
            <w:tcW w:w="12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vAlign w:val="center"/>
          </w:tcPr>
          <w:p>
            <w:pPr>
              <w:pStyle w:val="TableContents"/>
              <w:bidi w:val="0"/>
              <w:spacing w:before="0" w:after="0"/>
              <w:ind w:left="0" w:right="0" w:hanging="0"/>
              <w:jc w:val="left"/>
              <w:rPr/>
            </w:pPr>
            <w:r>
              <w:rPr/>
              <w:t> </w:t>
            </w:r>
          </w:p>
        </w:tc>
        <w:tc>
          <w:tcPr>
            <w:tcW w:w="3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93,581</w:t>
            </w:r>
          </w:p>
        </w:tc>
        <w:tc>
          <w:tcPr>
            <w:tcW w:w="346"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vAlign w:val="center"/>
          </w:tcPr>
          <w:p>
            <w:pPr>
              <w:pStyle w:val="TableContents"/>
              <w:bidi w:val="0"/>
              <w:spacing w:before="0" w:after="0"/>
              <w:ind w:left="0" w:right="0" w:hanging="0"/>
              <w:jc w:val="righ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term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60,017</w:t>
            </w:r>
          </w:p>
        </w:tc>
        <w:tc>
          <w:tcPr>
            <w:tcW w:w="346" w:type="dxa"/>
            <w:tcBorders/>
            <w:shd w:fill="CCEEFF" w:val="cle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lease cost</w:t>
            </w:r>
          </w:p>
        </w:tc>
        <w:tc>
          <w:tcPr>
            <w:tcW w:w="346" w:type="dxa"/>
            <w:tcBorders/>
            <w:vAlign w:val="center"/>
          </w:tcPr>
          <w:p>
            <w:pPr>
              <w:pStyle w:val="TableContents"/>
              <w:bidi w:val="0"/>
              <w:spacing w:before="0" w:after="0"/>
              <w:ind w:left="0" w:right="0" w:hanging="0"/>
              <w:jc w:val="left"/>
              <w:rPr/>
            </w:pPr>
            <w:r>
              <w:rPr/>
              <w:t>​</w:t>
            </w:r>
          </w:p>
        </w:tc>
        <w:tc>
          <w:tcPr>
            <w:tcW w:w="3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153,598</w:t>
            </w:r>
          </w:p>
        </w:tc>
        <w:tc>
          <w:tcPr>
            <w:tcW w:w="346" w:type="dxa"/>
            <w:tcBorders/>
            <w:vAlign w:val="center"/>
          </w:tcPr>
          <w:p>
            <w:pPr>
              <w:pStyle w:val="TableContents"/>
              <w:bidi w:val="0"/>
              <w:spacing w:before="0" w:after="0"/>
              <w:ind w:left="0" w:right="0" w:hanging="0"/>
              <w:jc w:val="left"/>
              <w:rPr/>
            </w:pPr>
            <w:r>
              <w:rPr/>
              <w:t>​</w:t>
            </w:r>
          </w:p>
        </w:tc>
        <w:tc>
          <w:tcPr>
            <w:tcW w:w="5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operating 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3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(69,933)</w:t>
            </w:r>
          </w:p>
        </w:tc>
        <w:tc>
          <w:tcPr>
            <w:tcW w:w="346" w:type="dxa"/>
            <w:tcBorders/>
            <w:shd w:fill="CCEEFF" w:val="clear"/>
            <w:vAlign w:val="center"/>
          </w:tcPr>
          <w:p>
            <w:pPr>
              <w:pStyle w:val="TableContents"/>
              <w:bidi w:val="0"/>
              <w:spacing w:before="0" w:after="0"/>
              <w:ind w:left="0" w:right="0" w:hanging="0"/>
              <w:jc w:val="left"/>
              <w:rPr/>
            </w:pPr>
            <w:r>
              <w:rPr/>
              <w:t>​</w:t>
            </w:r>
          </w:p>
        </w:tc>
        <w:tc>
          <w:tcPr>
            <w:tcW w:w="5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bookmarkStart w:id="1068" w:name="Tc_kKVRikHyuUSiuywPLAQdjQ_10_2"/>
      <w:bookmarkStart w:id="1069" w:name="Tc_pm5mjtlsw0yaF-VrAe0VlQ_10_0"/>
      <w:bookmarkStart w:id="1070" w:name="Tc_TjFcTw12vUiGwGRFtJKzfw_9_0"/>
      <w:bookmarkStart w:id="1071" w:name="Tc_osIoDe8Az0ewqgYtvzv0sg_8_0"/>
      <w:bookmarkStart w:id="1072" w:name="Tc_fnP23_5xckyLCwq-VqZFDA_7_0"/>
      <w:bookmarkStart w:id="1073" w:name="Tc_kJwpXM-0iUynxtv6XmsjZQ_6_0"/>
      <w:bookmarkStart w:id="1074" w:name="Tc_9LStHwHEmU2XY-XXJN_Dkw_5_0"/>
      <w:bookmarkStart w:id="1075" w:name="Tc_PbO5BXj3H0SO1mfusz-Z5A_4_0"/>
      <w:bookmarkStart w:id="1076" w:name="Tc_YtgtF0Bn-UaMfos5yGEdGQ_3_0"/>
      <w:bookmarkStart w:id="1077" w:name="Tc_sKCUFuD9OEqddUSEzDC_Kg_2_2"/>
      <w:bookmarkStart w:id="1078" w:name="Tc_1elfKKESXECvGZWcOU6hTw_2_0"/>
      <w:bookmarkStart w:id="1079" w:name="Tc_sTk-CE2W7EOUPPyniipD1g_1_0"/>
      <w:bookmarkStart w:id="1080" w:name="_10aa390c_6e1c_460d_9a73_479ae76d3cd7"/>
      <w:bookmarkStart w:id="1081" w:name="Tc_AON9YHcU7ECLFvKbGhQ1lA_4_5"/>
      <w:bookmarkStart w:id="1082" w:name="Tc_L-sFTl3vnkC8QXqKiZV8sQ_4_2"/>
      <w:bookmarkStart w:id="1083" w:name="Tc_9sztImGPlkmT1aL4kY03YA_3_0"/>
      <w:bookmarkStart w:id="1084" w:name="Tc_BFAKCMD9mku5I-ec-YWFag_2_5"/>
      <w:bookmarkStart w:id="1085" w:name="Tc_u8vQYBcK4Um0x8ZyTLKKtA_2_2"/>
      <w:bookmarkStart w:id="1086" w:name="Tc_HoNz-OSK6kG_GT-HuIEbQA_2_0"/>
      <w:bookmarkStart w:id="1087" w:name="Tc_QZYhgZf88kS_ElJSxU4S-g_1_5"/>
      <w:bookmarkStart w:id="1088" w:name="Tc_GGD1ap0GT0GT8WKRZq2AJA_1_2"/>
      <w:bookmarkStart w:id="1089" w:name="Tc_zHd9E14DDEi45igouOThjg_1_0"/>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r>
        <w:rPr>
          <w:rFonts w:ascii="Times New Roman;Times;serif" w:hAnsi="Times New Roman;Times;serif"/>
          <w:sz w:val="20"/>
        </w:rPr>
        <w:t>Lease balance sheet information as of May 31, 2026 and November 30, 2025:</w:t>
      </w:r>
    </w:p>
    <w:p>
      <w:pPr>
        <w:pStyle w:val="TextBody"/>
        <w:bidi w:val="0"/>
        <w:spacing w:before="0" w:after="0"/>
        <w:ind w:left="0" w:right="0" w:hanging="0"/>
        <w:jc w:val="left"/>
        <w:rPr/>
      </w:pPr>
      <w:r>
        <w:rPr/>
        <w:t>​</w:t>
      </w:r>
    </w:p>
    <w:tbl>
      <w:tblPr>
        <w:tblW w:w="7309" w:type="dxa"/>
        <w:jc w:val="left"/>
        <w:tblInd w:w="0" w:type="dxa"/>
        <w:tblLayout w:type="fixed"/>
        <w:tblCellMar>
          <w:top w:w="0" w:type="dxa"/>
          <w:left w:w="0" w:type="dxa"/>
          <w:bottom w:w="0" w:type="dxa"/>
          <w:right w:w="0" w:type="dxa"/>
        </w:tblCellMar>
      </w:tblPr>
      <w:tblGrid>
        <w:gridCol w:w="3931"/>
        <w:gridCol w:w="346"/>
        <w:gridCol w:w="236"/>
        <w:gridCol w:w="874"/>
        <w:gridCol w:w="346"/>
        <w:gridCol w:w="335"/>
        <w:gridCol w:w="1241"/>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496185" cy="175260"/>
                      <wp:effectExtent l="0" t="0" r="0" b="0"/>
                      <wp:wrapNone/>
                      <wp:docPr id="130" name="Frame130"/>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49860" cy="175260"/>
                      <wp:effectExtent l="0" t="0" r="0" b="0"/>
                      <wp:wrapNone/>
                      <wp:docPr id="132" name="Frame132"/>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54990" cy="175260"/>
                      <wp:effectExtent l="0" t="0" r="0" b="0"/>
                      <wp:wrapNone/>
                      <wp:docPr id="133" name="Frame133"/>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2725" cy="175260"/>
                      <wp:effectExtent l="0" t="0" r="0" b="0"/>
                      <wp:wrapNone/>
                      <wp:docPr id="135" name="Frame135"/>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88035" cy="175260"/>
                      <wp:effectExtent l="0" t="0" r="0" b="0"/>
                      <wp:wrapNone/>
                      <wp:docPr id="136" name="Frame136"/>
                      <a:graphic xmlns:a="http://schemas.openxmlformats.org/drawingml/2006/main">
                        <a:graphicData uri="http://schemas.microsoft.com/office/word/2010/wordprocessingShape">
                          <wps:wsp>
                            <wps:cNvSpPr txBox="1"/>
                            <wps:spPr>
                              <a:xfrm>
                                <a:off x="0" y="0"/>
                                <a:ext cx="78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Lease liabilities</w:t>
            </w:r>
          </w:p>
        </w:tc>
        <w:tc>
          <w:tcPr>
            <w:tcW w:w="346" w:type="dxa"/>
            <w:tcBorders/>
            <w:vAlign w:val="center"/>
          </w:tcPr>
          <w:p>
            <w:pPr>
              <w:pStyle w:val="TableContents"/>
              <w:bidi w:val="0"/>
              <w:spacing w:before="0" w:after="0"/>
              <w:ind w:left="0" w:right="0" w:hanging="0"/>
              <w:jc w:val="left"/>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46" w:type="dxa"/>
            <w:tcBorders/>
            <w:vAlign w:val="center"/>
          </w:tcPr>
          <w:p>
            <w:pPr>
              <w:pStyle w:val="TableContents"/>
              <w:bidi w:val="0"/>
              <w:spacing w:before="0" w:after="0"/>
              <w:ind w:left="0" w:right="0" w:hanging="0"/>
              <w:jc w:val="left"/>
              <w:rPr/>
            </w:pPr>
            <w:r>
              <w:rPr/>
              <w:t>  ​ ​ ​</w:t>
            </w:r>
          </w:p>
        </w:tc>
        <w:tc>
          <w:tcPr>
            <w:tcW w:w="15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November 30, 2025</w:t>
            </w:r>
          </w:p>
        </w:tc>
      </w:tr>
      <w:tr>
        <w:trPr/>
        <w:tc>
          <w:tcPr>
            <w:tcW w:w="3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140,075</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33,155</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of operating lease liabilities</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589,935</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55,086</w:t>
            </w:r>
          </w:p>
        </w:tc>
      </w:tr>
      <w:tr>
        <w:trPr/>
        <w:tc>
          <w:tcPr>
            <w:tcW w:w="3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730,010</w:t>
            </w:r>
          </w:p>
        </w:tc>
        <w:tc>
          <w:tcPr>
            <w:tcW w:w="346" w:type="dxa"/>
            <w:tcBorders/>
            <w:shd w:fill="CCEEFF" w:val="clear"/>
            <w:vAlign w:val="center"/>
          </w:tcPr>
          <w:p>
            <w:pPr>
              <w:pStyle w:val="TableContents"/>
              <w:bidi w:val="0"/>
              <w:spacing w:before="0" w:after="0"/>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88,241</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Future minimum lease payments to be paid by the Company as a lessee as of May 31, 2026 are as follows:</w:t>
      </w:r>
    </w:p>
    <w:tbl>
      <w:tblPr>
        <w:tblW w:w="5584" w:type="dxa"/>
        <w:jc w:val="left"/>
        <w:tblInd w:w="0" w:type="dxa"/>
        <w:tblLayout w:type="fixed"/>
        <w:tblCellMar>
          <w:top w:w="0" w:type="dxa"/>
          <w:left w:w="0" w:type="dxa"/>
          <w:bottom w:w="0" w:type="dxa"/>
          <w:right w:w="0" w:type="dxa"/>
        </w:tblCellMar>
      </w:tblPr>
      <w:tblGrid>
        <w:gridCol w:w="4081"/>
        <w:gridCol w:w="346"/>
        <w:gridCol w:w="211"/>
        <w:gridCol w:w="946"/>
      </w:tblGrid>
      <w:tr>
        <w:trPr/>
        <w:tc>
          <w:tcPr>
            <w:tcW w:w="4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591435" cy="175260"/>
                      <wp:effectExtent l="0" t="0" r="0" b="0"/>
                      <wp:wrapNone/>
                      <wp:docPr id="137" name="Frame137"/>
                      <a:graphic xmlns:a="http://schemas.openxmlformats.org/drawingml/2006/main">
                        <a:graphicData uri="http://schemas.microsoft.com/office/word/2010/wordprocessingShape">
                          <wps:wsp>
                            <wps:cNvSpPr txBox="1"/>
                            <wps:spPr>
                              <a:xfrm>
                                <a:off x="0" y="0"/>
                                <a:ext cx="2591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00710" cy="175260"/>
                      <wp:effectExtent l="0" t="0" r="0" b="0"/>
                      <wp:wrapNone/>
                      <wp:docPr id="140" name="Frame14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commitments and lease liability:</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127,842</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209,474</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180,665</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179,938</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183,537</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31,201</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minimum lease payments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912,657</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(182,647)</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730,010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sz w:val="20"/>
        </w:rPr>
      </w:pPr>
      <w:bookmarkStart w:id="1090" w:name="Tc_zZurQo-peEKhjHZAeWmR0w_4_2"/>
      <w:bookmarkStart w:id="1091" w:name="Tc_glUHYzH3X0egOnewhRAEEg_4_0"/>
      <w:bookmarkStart w:id="1092" w:name="Tc_KtwxtT2cJE6onXW1vLjDpA_3_0"/>
      <w:bookmarkStart w:id="1093" w:name="Tc_9KrF09QEy0-F8dMeco0x9Q_2_0"/>
      <w:bookmarkStart w:id="1094" w:name="Tc_17Mu0TZ6UEydIoJ1fKBlww_1_3"/>
      <w:bookmarkStart w:id="1095" w:name="Tc_FqEvaswbQU-rYShwhp9KlA_1_2"/>
      <w:bookmarkStart w:id="1096" w:name="Tc_wkieYg1S_Ee6wAsc2jyvYg_1_0"/>
      <w:bookmarkEnd w:id="1090"/>
      <w:bookmarkEnd w:id="1091"/>
      <w:bookmarkEnd w:id="1092"/>
      <w:bookmarkEnd w:id="1093"/>
      <w:bookmarkEnd w:id="1094"/>
      <w:bookmarkEnd w:id="1095"/>
      <w:bookmarkEnd w:id="1096"/>
      <w:r>
        <w:rPr>
          <w:rFonts w:ascii="Times New Roman;Times;serif" w:hAnsi="Times New Roman;Times;serif"/>
          <w:b/>
          <w:i w:val="false"/>
          <w:caps w:val="false"/>
          <w:smallCaps w:val="false"/>
          <w:sz w:val="20"/>
        </w:rPr>
        <w:t>11.</w:t>
      </w:r>
      <w:r>
        <w:rPr>
          <w:rFonts w:ascii="Times New Roman;Times;serif" w:hAnsi="Times New Roman;Times;serif"/>
          <w:b/>
          <w:sz w:val="20"/>
        </w:rPr>
        <w:t>WARRANT LIABILITY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24, 2026, in connection with the PIPE financing (Note 12), the Company issued warrants to an accredited investor to purchase an aggregate of 2,500,000 shares of common stock of the Company at an exercise price of $12.00 per share, in addition to 29,700 Series A Cumulative Convertible Preferred Stock. The fair value of warrants upon issuance was $4,174,276.</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These warrants are accounted for as derivative liabilities as they contain a put option that may be exercised in the event of a fundamental transaction of the Company, pursuant to ASC 480-10, </w:t>
      </w:r>
      <w:r>
        <w:rPr>
          <w:rFonts w:ascii="Times New Roman;Times;serif" w:hAnsi="Times New Roman;Times;serif"/>
          <w:i/>
          <w:sz w:val="20"/>
        </w:rPr>
        <w:t>Distinguishing Liabilities from Equity</w:t>
      </w:r>
      <w:r>
        <w:rPr>
          <w:rFonts w:ascii="Times New Roman;Times;serif" w:hAnsi="Times New Roman;Times;serif"/>
          <w:sz w:val="20"/>
        </w:rPr>
        <w:t>. As such, the warrants are recognized initially at fair value and subsequently remeasured at fair value through earnings, reported as change in fair value of warrant liability in the unaudited condensed consolidated interim statements of operations.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warrant liability is classified within Level 3 of the fair value hierarchy, as the valuation technique uses significant unobservable inputs, including expected volatility and, at issuance, a discount for lack of marketability.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following is a continuity of the Company’s derivative warrant liabilities:</w:t>
      </w:r>
    </w:p>
    <w:p>
      <w:pPr>
        <w:pStyle w:val="TextBody"/>
        <w:bidi w:val="0"/>
        <w:spacing w:before="0" w:after="0"/>
        <w:ind w:left="0" w:right="0" w:hanging="0"/>
        <w:jc w:val="left"/>
        <w:rPr/>
      </w:pPr>
      <w:r>
        <w:rPr/>
        <w:t>​</w:t>
      </w:r>
    </w:p>
    <w:tbl>
      <w:tblPr>
        <w:tblW w:w="5149" w:type="dxa"/>
        <w:jc w:val="left"/>
        <w:tblInd w:w="0" w:type="dxa"/>
        <w:tblLayout w:type="fixed"/>
        <w:tblCellMar>
          <w:top w:w="0" w:type="dxa"/>
          <w:left w:w="0" w:type="dxa"/>
          <w:bottom w:w="0" w:type="dxa"/>
          <w:right w:w="0" w:type="dxa"/>
        </w:tblCellMar>
      </w:tblPr>
      <w:tblGrid>
        <w:gridCol w:w="3451"/>
        <w:gridCol w:w="346"/>
        <w:gridCol w:w="211"/>
        <w:gridCol w:w="114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1385" cy="175260"/>
                      <wp:effectExtent l="0" t="0" r="0" b="0"/>
                      <wp:wrapNone/>
                      <wp:docPr id="141" name="Frame141"/>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260"/>
                      <wp:effectExtent l="0" t="0" r="0" b="0"/>
                      <wp:wrapNone/>
                      <wp:docPr id="143"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724535" cy="175260"/>
                      <wp:effectExtent l="0" t="0" r="0" b="0"/>
                      <wp:wrapNone/>
                      <wp:docPr id="144" name="Frame14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at November 30, 2025</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4,174,276</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17,750,724</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at May 31, 2026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21,925,000</w:t>
            </w:r>
          </w:p>
        </w:tc>
      </w:tr>
    </w:tbl>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The entire change in fair value of the warrant liability during the six months ended May 31, 2026 relates to warrants still outstanding as of May 31, 2026, as none of the warrants have been exercised or </w:t>
      </w:r>
      <w:r>
        <w:rPr>
          <w:rFonts w:ascii="Times New Roman;Times;serif" w:hAnsi="Times New Roman;Times;serif"/>
          <w:b w:val="false"/>
          <w:i w:val="false"/>
          <w:caps w:val="false"/>
          <w:smallCaps w:val="false"/>
          <w:sz w:val="20"/>
        </w:rPr>
        <w:t>settled</w:t>
      </w:r>
      <w:r>
        <w:rPr>
          <w:rFonts w:ascii="Times New Roman;Times;serif" w:hAnsi="Times New Roman;Times;serif"/>
          <w:sz w:val="20"/>
        </w:rPr>
        <w:t>.</w:t>
      </w:r>
    </w:p>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0"/>
        <w:ind w:left="360" w:right="0" w:hanging="0"/>
        <w:jc w:val="both"/>
        <w:rPr>
          <w:rFonts w:ascii="Times New Roman;Times;serif" w:hAnsi="Times New Roman;Times;serif"/>
          <w:sz w:val="20"/>
        </w:rPr>
      </w:pPr>
      <w:bookmarkStart w:id="1097" w:name="Tc_OrAwiONIBk-Z-f7-D6yWkw_9_6"/>
      <w:bookmarkStart w:id="1098" w:name="Tc_X3aIaPNHp0OXLjxxAiSKPQ_9_3"/>
      <w:bookmarkStart w:id="1099" w:name="Tc_2JfVJeO_T0aMcurQd37muw_9_0"/>
      <w:bookmarkStart w:id="1100" w:name="Tc_hhx7jdiEd0yqBClgiB8eOg_8_7"/>
      <w:bookmarkStart w:id="1101" w:name="Tc_hhRYdr8gZECNU739cAV35Q_8_4"/>
      <w:bookmarkStart w:id="1102" w:name="Tc_wBjKUi12U0eEfEXa8OJgKQ_8_0"/>
      <w:bookmarkStart w:id="1103" w:name="Tc_RcpBhWnuz0WXW9Y3lu38pQ_7_7"/>
      <w:bookmarkStart w:id="1104" w:name="Tc_yBbZGafDUU6uDjONjbZDDg_7_4"/>
      <w:bookmarkStart w:id="1105" w:name="Tc_nafora2snE2BBEdgRLKa5Q_7_0"/>
      <w:bookmarkStart w:id="1106" w:name="Tc_QQV6SigcgUaKf7jDU_EEEw_6_7"/>
      <w:bookmarkStart w:id="1107" w:name="Tc_cfjW1Y8j6UeHcpJyChhLvg_6_3"/>
      <w:bookmarkStart w:id="1108" w:name="Tc_S4tpdG8y1UK7uFptGNYPDw_6_0"/>
      <w:bookmarkStart w:id="1109" w:name="Tc_T158ArEqt0qHgT3uolOZrQ_5_5"/>
      <w:bookmarkStart w:id="1110" w:name="Tc_VD-hqwEe9EiDaXfq9FFavg_5_2"/>
      <w:bookmarkStart w:id="1111" w:name="Tc_QkMhHXiXPE-nFH8cHT96BQ_5_0"/>
      <w:bookmarkStart w:id="1112" w:name="Tc__KDcO5zdiU6MLWtrF_aDMQ_4_6"/>
      <w:bookmarkStart w:id="1113" w:name="Tc_CDtQKTH_MkWl_1M9CBklGw_4_3"/>
      <w:bookmarkStart w:id="1114" w:name="Tc_nj1S-GSCqUyOi31xYX4kOw_4_0"/>
      <w:bookmarkStart w:id="1115" w:name="Tc_cQXcpHMtwkSlSO-tcqsZWw_3_5"/>
      <w:bookmarkStart w:id="1116" w:name="Tc_HSjUlH16REOQoJC_Li1FQA_3_2"/>
      <w:bookmarkStart w:id="1117" w:name="Tc_yuVcLT2pDkqa1SJtP6pm8w_3_0"/>
      <w:bookmarkStart w:id="1118" w:name="Tc__i-HMhfnBUif1tTp9IvY4Q_2_5"/>
      <w:bookmarkStart w:id="1119" w:name="Tc_DjOtm5pjkUucM3UfNi46BA_2_2"/>
      <w:bookmarkStart w:id="1120" w:name="Tc_Er_Ulf22lE-fiDV4uwM9xg_1_5"/>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r>
        <w:rPr>
          <w:rFonts w:ascii="Times New Roman;Times;serif" w:hAnsi="Times New Roman;Times;serif"/>
          <w:sz w:val="20"/>
        </w:rPr>
        <w:t>The fair value of the warrant liability arising from 2,500,000 warrants issued with the PIPE financing was calculated using the Monte Carlo model, performed by a third-party valuation specialist. The key inputs used in the Monte Carlo model were as follows:</w:t>
      </w:r>
    </w:p>
    <w:p>
      <w:pPr>
        <w:pStyle w:val="TextBody"/>
        <w:bidi w:val="0"/>
        <w:spacing w:before="0" w:after="0"/>
        <w:ind w:left="0" w:right="0" w:hanging="0"/>
        <w:jc w:val="left"/>
        <w:rPr/>
      </w:pPr>
      <w:r>
        <w:rPr/>
        <w:t>​</w:t>
      </w:r>
    </w:p>
    <w:tbl>
      <w:tblPr>
        <w:tblW w:w="7763" w:type="dxa"/>
        <w:jc w:val="left"/>
        <w:tblInd w:w="0" w:type="dxa"/>
        <w:tblLayout w:type="fixed"/>
        <w:tblCellMar>
          <w:top w:w="0" w:type="dxa"/>
          <w:left w:w="0" w:type="dxa"/>
          <w:bottom w:w="0" w:type="dxa"/>
          <w:right w:w="0" w:type="dxa"/>
        </w:tblCellMar>
      </w:tblPr>
      <w:tblGrid>
        <w:gridCol w:w="2866"/>
        <w:gridCol w:w="346"/>
        <w:gridCol w:w="211"/>
        <w:gridCol w:w="1726"/>
        <w:gridCol w:w="361"/>
        <w:gridCol w:w="211"/>
        <w:gridCol w:w="1726"/>
        <w:gridCol w:w="316"/>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819910" cy="175260"/>
                      <wp:effectExtent l="0" t="0" r="0" b="0"/>
                      <wp:wrapNone/>
                      <wp:docPr id="145" name="Frame145"/>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096010" cy="175260"/>
                      <wp:effectExtent l="0" t="0" r="0" b="0"/>
                      <wp:wrapNone/>
                      <wp:docPr id="148" name="Frame148"/>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29235" cy="175260"/>
                      <wp:effectExtent l="0" t="0" r="0" b="0"/>
                      <wp:wrapNone/>
                      <wp:docPr id="149" name="Frame14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096010" cy="175260"/>
                      <wp:effectExtent l="0" t="0" r="0" b="0"/>
                      <wp:wrapNone/>
                      <wp:docPr id="151" name="Frame151"/>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0660" cy="175260"/>
                      <wp:effectExtent l="0" t="0" r="0" b="0"/>
                      <wp:wrapNone/>
                      <wp:docPr id="152" name="Frame15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9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February 24, 2026</w:t>
            </w:r>
          </w:p>
        </w:tc>
        <w:tc>
          <w:tcPr>
            <w:tcW w:w="316" w:type="dxa"/>
            <w:tcBorders/>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61" w:type="dxa"/>
            <w:tcBorders/>
            <w:vAlign w:val="center"/>
          </w:tcPr>
          <w:p>
            <w:pPr>
              <w:pStyle w:val="TableContents"/>
              <w:bidi w:val="0"/>
              <w:spacing w:before="0" w:after="0"/>
              <w:ind w:left="0" w:right="0" w:hanging="0"/>
              <w:jc w:val="left"/>
              <w:rPr/>
            </w:pPr>
            <w:r>
              <w:rPr/>
              <w:t>​</w:t>
            </w:r>
          </w:p>
        </w:tc>
        <w:tc>
          <w:tcPr>
            <w:tcW w:w="19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issuance)</w:t>
            </w:r>
          </w:p>
        </w:tc>
        <w:tc>
          <w:tcPr>
            <w:tcW w:w="316"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w:t>
            </w:r>
          </w:p>
        </w:tc>
        <w:tc>
          <w:tcPr>
            <w:tcW w:w="361"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 reset date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September 22, 2026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September 22, 2026</w:t>
            </w:r>
          </w:p>
        </w:tc>
        <w:tc>
          <w:tcPr>
            <w:tcW w:w="316"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Floor price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for lack of marketability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72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interest rate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life of warrant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 years</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 years</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 Monte Carlo model is utilized due to the existence of an exercise price reset mechanism attached to these warrants, that could be triggered on the twenty-first trading day following the date that is six months after issuance if the 20-day VWAP of the common stock of the Company (“Measurement Price”) is less than the exercise price of $12.00 per share, with the exercise price being reduced to the greater of the Measurement Price and $7.50.</w:t>
      </w:r>
    </w:p>
    <w:p>
      <w:pPr>
        <w:pStyle w:val="TextBody"/>
        <w:bidi w:val="0"/>
        <w:spacing w:before="0" w:after="0"/>
        <w:ind w:left="36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As of May 31, 2026, a discount for lack of marketability for warrant liability valuation has been reduced from 64.1% at issuance to nil, as a resale registration statement became effective on April 24, 2026, making the underlying shares freely tradable. A discount for lack of marketability of 64.1% was selected as of February 24, 2026 to calibrate the valuation model to the transaction price of the PIPE Financing, in line with the AICPA’s Valuation of Portfolio Company Investments of Venture Capital and Private Equity Funds and Other Investment Companies guide.</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Expected volatility was estimated based on the median observed historical share price volatility of a set of comparable publicly traded exploration stage uranium companies that have similar risk considerations as the Company, due to the Company’s limited trading history.</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fair value of the warrant liability is sensitive to changes in the significant unobservable inputs described above. In general, an increase in expected volatility, or a decrease in discount for lack of marketability, would result in a higher fair value of the warrant liability; while a decrease in expected volatility, or an increase in discount for lack of marketability, would result in a lower fair value. The Company’s expected volatility, in particular, was estimated using a limited set of comparable peer companies given the Company’s limited trading history, and different reasonable judgments about the composition of that peer set could have resulted in a different volatility estimate and a materially different fair value measurement as at May 31, 2026.</w:t>
      </w:r>
    </w:p>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STOCKHOLDERS’ EQUITY (DEFICIT) AND MEZZANINE EQUITY</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has 300,000,000 shares of common stock authorized with a par value of $0.0001 per share. Prior to the de-SPAC transaction (Note 4) on February 24, 2026, the Company, being Eagle Energy at the time, had 350,000,000 shares of common stock authorized with a par value of $0.0001 per share.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May 31, 2026 and November 30, 2025, the Company had 29,579,798 and 18,888,289 shares (excluding 2,750,000 shares subject to possible redemption) issued and outstanding,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Activities during the six months period ended May 31, 2026:</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24, 2026, the Company completed its de-SPAC transaction (Note 4), with each share of former nonredeemable Eagle Energy common stock converted to common stock of the Company on a 5.8349:1 basis, representing 18,888,289 shares of common stock. All disclosures in these unaudited condensed consolidated interim financial statements on number of shares have been accordingly converted on the same basis. The former shareholders of SVII received an aggregate of 5,930,033 shares of common stock in the Company as consideration for the de-SPAC transaction. The Company also issued 300,000 shares of common stock in respect of transaction costs. The Company recorded a net contribution from reverse recapitalization of $1,991,184 as a result of the de-SPAC transaction.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24, 2026, upon the completion of the de-SPAC transaction (Note 4), 2,750,000 shares of common stock previously subject to redemption were no longer redeemable and reclassified to permanent equity. The Company reclassified $300,000 from redeemable common stock in mezzanine equity to permanent equity.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24, 2026, the Company also issued 1,710,991 shares of common stock with a fair value of $11,959,827 as consideration for the acquisition of Oregon Energy (Note 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April 27, 2026 and May 1, 2026, the Company issued a total of 200 shares of common stock in connection with warrant exercises, at a price of $11.50 per share for total proceeds of $2,300.</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May 26, 2026, the Company issued 285 shares of common stock to a stockholder to rectify an administrative error related to a prior issuance of common stock. The issuance had no incremental fair value and did not result in any additional consideration being exchanged.</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Activities during the six months ended May 31, 2025: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December 2024, the Company completed a private placement offering of 312,007 common shares of the Company, with a par value of $0.0001 per share, at a price of $3.56 per share for total proceeds of $1,110,529. Additionally, 51,414 bonus shares valued at $183,000, of which $167,750 was recognized as obligation to issue shares as of November 30, 2024, and $15,250 was recognized as professional fees in the unaudited condensed consolidated interim statement of operations for the six months ended May 31, 2025, were issued to a consultant for professional services rendered from January 2024 to December 2024.</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March 2025, the Company completed another private placement offering of 478,871 common shares of the Company, with a par value of $0.0001 per share, at a price of $3.56 per share for total proceeds of $1,704,446.</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April 2025, the Company completed a Regulation Crowdfunding offering (“Reg CF”) pursuant to Section 4(a)(6) of the Securities Act of 1933 and Regulation Crowdfunding thereunder. Through this offering, the Company issued a total of 1,318,287 common shares, with a par value of $0.0001 per share, at a price of $3.56 per share, for gross proceeds of $4,692,172. The shares issued are subject to transfer restrictions under applicable securities laws, including a one-year holding period for Reg CF investors.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May 2025, the Company issued an additional 77,644 common shares, with a par value of $0.0001 per share, under its Reg CF offering at a price of $3.56 per share, for gross proceeds of $276,364. An amount of $427 remained receivable as of May 31, 2025. Additionally, the Company completed a private placement offering of 65,274 common shares of the Company, with a par value of $0.0001 per share, at a price of $3.56 per share, for gross proceeds of $232,331. The Company also issued 34,276 shares with a deemed fair value of $3.56 per share as non-cash consideration for consulting services to be rendered from May 2025 to November 2025.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For the six months ended May 31, 2025, the Company incurred a total of $577,120 in share issuance costs paid in cash related to its Reg CF offering and private placements. On May 29, 2025, the Company also issued 97,826 common shares with a deemed fair value of $3.56 per share to the agents in its Reg CF offering as compensation, which is included in share issuance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b/>
          <w:sz w:val="20"/>
        </w:rPr>
      </w:pPr>
      <w:bookmarkStart w:id="1121" w:name="Tc_kn4kb97MVU69nbqqythdog_7_3"/>
      <w:bookmarkStart w:id="1122" w:name="Tc_OBUS8sWhfk-yphYzyp_G5w_7_2"/>
      <w:bookmarkStart w:id="1123" w:name="Tc_zznafZ6lbUqrW3dy4hKcag_7_0"/>
      <w:bookmarkStart w:id="1124" w:name="Tc_7lWTzl1ar0WPy7J8zc75kw_6_0"/>
      <w:bookmarkStart w:id="1125" w:name="Tc_WN-MS2Yw2EaPA9iBj2Rd4w_5_0"/>
      <w:bookmarkStart w:id="1126" w:name="Tc_drGuWgdv6USSIuMsE4EkiA_4_0"/>
      <w:bookmarkStart w:id="1127" w:name="Tc_EEvE-mB8l0SbREMl6yukBQ_3_0"/>
      <w:bookmarkStart w:id="1128" w:name="Tc_Lnkykl1AGkyMWCG_ut2UVA_2_0"/>
      <w:bookmarkStart w:id="1129" w:name="Tc_hFvwClX_B0Ki59gxfsC-Dw_1_3"/>
      <w:bookmarkStart w:id="1130" w:name="Tc_yoooAAo9BEiaL2Kcu57wug_1_2"/>
      <w:bookmarkStart w:id="1131" w:name="Tc_f4vSrZ8FRkStPNBaR6XRug_1_0"/>
      <w:bookmarkEnd w:id="1121"/>
      <w:bookmarkEnd w:id="1122"/>
      <w:bookmarkEnd w:id="1123"/>
      <w:bookmarkEnd w:id="1124"/>
      <w:bookmarkEnd w:id="1125"/>
      <w:bookmarkEnd w:id="1126"/>
      <w:bookmarkEnd w:id="1127"/>
      <w:bookmarkEnd w:id="1128"/>
      <w:bookmarkEnd w:id="1129"/>
      <w:bookmarkEnd w:id="1130"/>
      <w:bookmarkEnd w:id="1131"/>
      <w:r>
        <w:rPr>
          <w:rFonts w:ascii="Times New Roman;Times;serif" w:hAnsi="Times New Roman;Times;serif"/>
          <w:b/>
          <w:sz w:val="20"/>
        </w:rPr>
        <w:t>Preferred stock</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has 3,500,000 shares of preferred stock authorized with a par value of $0.0001 per share. Prior to the de-SPAC transaction (Note 4) on February 24, 2026, the Company, being Eagle Energy at the time, had 50,000,000 shares of preferred stock authorized with a par value of $0.0001 per share.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May 31, 2026 and November 30, 2025, the Company had no preferred stock issued and outstanding, excluding 29,700 shares subject to possible redemption as of May 31, 2026.</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Mezzanine equity</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Redeemable common stock</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In July 2025, the Company issued 2,750,000 common shares, with a par value of $0.0001 per share, to an investor pursuant to a Common Stock Purchase Agreement for total proceeds of $300,000. The shares are subject to automatic redemption if the de-SPAC transaction as contemplated by the BCA (Note 4) does not close. In accordance with the ASC 480-10-S99-3A, </w:t>
      </w:r>
      <w:r>
        <w:rPr>
          <w:rFonts w:ascii="Times New Roman;Times;serif" w:hAnsi="Times New Roman;Times;serif"/>
          <w:i/>
          <w:sz w:val="20"/>
        </w:rPr>
        <w:t>Classification and Measurement of Redeemable Securities</w:t>
      </w:r>
      <w:r>
        <w:rPr>
          <w:rFonts w:ascii="Times New Roman;Times;serif" w:hAnsi="Times New Roman;Times;serif"/>
          <w:sz w:val="20"/>
        </w:rPr>
        <w:t>, redemption provisions not solely within the control of the Company require the security to be classified outside of permanent equity. Immediately upon the closing of the private placement, the Company recognized a charge against additional paid-in capital of $170 for share issuance costs incurred in this private placement. On February 24, 2026, upon the completion of the de-SPAC transaction (Note 4), these common shares are no longer redeemable. The face value of $300,000 is reclassified to permanent equity.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May 31, 2026, the amount of redeemable common stock reflected on the unaudited condensed consolidated interim balance sheets is reconciled in the following table:</w:t>
      </w:r>
    </w:p>
    <w:p>
      <w:pPr>
        <w:pStyle w:val="TextBody"/>
        <w:bidi w:val="0"/>
        <w:spacing w:before="0" w:after="0"/>
        <w:ind w:left="0" w:right="0" w:hanging="0"/>
        <w:jc w:val="left"/>
        <w:rPr/>
      </w:pPr>
      <w:r>
        <w:rPr/>
        <w:t>​</w:t>
      </w:r>
    </w:p>
    <w:tbl>
      <w:tblPr>
        <w:tblW w:w="5554" w:type="dxa"/>
        <w:jc w:val="left"/>
        <w:tblInd w:w="0" w:type="dxa"/>
        <w:tblLayout w:type="fixed"/>
        <w:tblCellMar>
          <w:top w:w="0" w:type="dxa"/>
          <w:left w:w="0" w:type="dxa"/>
          <w:bottom w:w="0" w:type="dxa"/>
          <w:right w:w="0" w:type="dxa"/>
        </w:tblCellMar>
      </w:tblPr>
      <w:tblGrid>
        <w:gridCol w:w="4051"/>
        <w:gridCol w:w="346"/>
        <w:gridCol w:w="211"/>
        <w:gridCol w:w="946"/>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572385" cy="175260"/>
                      <wp:effectExtent l="0" t="0" r="0" b="0"/>
                      <wp:wrapNone/>
                      <wp:docPr id="153" name="Frame153"/>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5"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00710" cy="175260"/>
                      <wp:effectExtent l="0" t="0" r="0" b="0"/>
                      <wp:wrapNone/>
                      <wp:docPr id="156" name="Frame15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Redeemable common stock, November 30, 2024</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proceeds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share issuance costs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adjust carrying value to redemption value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Redeemable common stock, November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transfer to permanent equity</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Redeemable common stock, May 31,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Series A Cumulative Convertible Preferred Stock</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24, 2026, in connection with the de-SPAC transaction (Note 4), the Company, Eagle Energy, and SVII entered into an Amended and Restated Securities Purchase Agreement (the “PIPE Agreement”) with an accredited investor, pursuant to which the investor agreed to purchase 29,700 shares of Series A Cumulative Convertible Preferred Stock of the Company for an aggregate price of $29,700,000. The Series A Cumulative Convertible Preferred Stock have an initial stated value of $1,000 per share, and are redeemable at the option of the holder beginning February 24, 2031. The Series A Cumulative Convertible Preferred Stock accrues dividends at 12% annually (if paid in kind), or 10% annually (if paid in cash). Dividends are due semi-annually, on June 1 and December 1. The preferred stock carries rights, preferences, and privileges as set forth in its certificate of designation, including the right to convert into common stock of the Company at any time at the holder’s option, at an initial conversion price of $11.88 per share (subject to adjustment). In addition, the investor received warrants to purchase an aggregate of 2,500,000 shares of common stock of the Company at an exercise price of $12.00 per share, which had a grant-date fair value of $4,174,276. The proceeds of the PIPE financing were first allocated to the liability-classified warrants (Note 11), with residual amounts being allocated to the Series A Cumulative Convertible Preferred Stock.</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Series A Cumulative Convertible Preferred Stock is also redeemable at the option of the Company: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prior to the first anniversary of issuance, at a redemption price per share equal to 150%</w:t>
            </w:r>
            <w:r>
              <w:rPr>
                <w:caps w:val="false"/>
                <w:smallCaps w:val="false"/>
              </w:rPr>
              <w:t xml:space="preserve"> </w:t>
            </w:r>
            <w:r>
              <w:rPr>
                <w:rFonts w:ascii="Times New Roman;Times;serif" w:hAnsi="Times New Roman;Times;serif"/>
                <w:b w:val="false"/>
                <w:i w:val="false"/>
                <w:caps w:val="false"/>
                <w:smallCaps w:val="false"/>
                <w:sz w:val="20"/>
              </w:rPr>
              <w:t>of the initial stated value, plus paid in kind dividends, plus accrued but unpaid cash dividends (the “Accrued Value”);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Normal"/>
        <w:bidi w:val="0"/>
        <w:spacing w:before="0" w:after="0"/>
        <w:jc w:val="left"/>
        <w:rPr>
          <w:sz w:val="4"/>
          <w:szCs w:val="4"/>
        </w:rPr>
      </w:pPr>
      <w:r>
        <w:rPr>
          <w:sz w:val="4"/>
          <w:szCs w:val="4"/>
        </w:rPr>
      </w:r>
      <w:bookmarkStart w:id="1132" w:name="Tc_eHLgcxasyUej3WDqfbsAAA_5_2"/>
      <w:bookmarkStart w:id="1133" w:name="Tc_nzmPSuNoIECf-q8f3dj-mg_5_0"/>
      <w:bookmarkStart w:id="1134" w:name="Tc_DMrRMOTVxUuoORhvin8qPQ_4_0"/>
      <w:bookmarkStart w:id="1135" w:name="Tc_Pm19JrgiskmcTwI9D6f6FA_3_0"/>
      <w:bookmarkStart w:id="1136" w:name="Tc_X-NvPTQUeku053ZWKSAAiw_2_0"/>
      <w:bookmarkStart w:id="1137" w:name="Tc_od2iNzJGr0yTiLIwEHd-rQ_1_3"/>
      <w:bookmarkStart w:id="1138" w:name="Tc_Of04jiv_BEGpQn1SljUQiw_1_2"/>
      <w:bookmarkStart w:id="1139" w:name="Tc_kbcFOX69xkOKs3ZgvRA18w_1_0"/>
      <w:bookmarkStart w:id="1140" w:name="Tc_eHLgcxasyUej3WDqfbsAAA_5_2"/>
      <w:bookmarkStart w:id="1141" w:name="Tc_nzmPSuNoIECf-q8f3dj-mg_5_0"/>
      <w:bookmarkStart w:id="1142" w:name="Tc_DMrRMOTVxUuoORhvin8qPQ_4_0"/>
      <w:bookmarkStart w:id="1143" w:name="Tc_Pm19JrgiskmcTwI9D6f6FA_3_0"/>
      <w:bookmarkStart w:id="1144" w:name="Tc_X-NvPTQUeku053ZWKSAAiw_2_0"/>
      <w:bookmarkStart w:id="1145" w:name="Tc_od2iNzJGr0yTiLIwEHd-rQ_1_3"/>
      <w:bookmarkStart w:id="1146" w:name="Tc_Of04jiv_BEGpQn1SljUQiw_1_2"/>
      <w:bookmarkStart w:id="1147" w:name="Tc_kbcFOX69xkOKs3ZgvRA18w_1_0"/>
      <w:bookmarkEnd w:id="1140"/>
      <w:bookmarkEnd w:id="1141"/>
      <w:bookmarkEnd w:id="1142"/>
      <w:bookmarkEnd w:id="1143"/>
      <w:bookmarkEnd w:id="1144"/>
      <w:bookmarkEnd w:id="1145"/>
      <w:bookmarkEnd w:id="1146"/>
      <w:bookmarkEnd w:id="1147"/>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or after the first anniversary of issuance but prior to the second anniversary of the issuance, at a redemption price per share equal to 140%</w:t>
            </w:r>
            <w:r>
              <w:rPr>
                <w:caps w:val="false"/>
                <w:smallCaps w:val="false"/>
              </w:rPr>
              <w:t xml:space="preserve"> </w:t>
            </w:r>
            <w:r>
              <w:rPr>
                <w:rFonts w:ascii="Times New Roman;Times;serif" w:hAnsi="Times New Roman;Times;serif"/>
                <w:b w:val="false"/>
                <w:i w:val="false"/>
                <w:caps w:val="false"/>
                <w:smallCaps w:val="false"/>
                <w:sz w:val="20"/>
              </w:rPr>
              <w:t>of the Accrued Value;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or after the second anniversary of issuance but prior to the third anniversary of the issuance, at a redemption price per share equal to 130%</w:t>
            </w:r>
            <w:r>
              <w:rPr>
                <w:caps w:val="false"/>
                <w:smallCaps w:val="false"/>
              </w:rPr>
              <w:t xml:space="preserve"> </w:t>
            </w:r>
            <w:r>
              <w:rPr>
                <w:rFonts w:ascii="Times New Roman;Times;serif" w:hAnsi="Times New Roman;Times;serif"/>
                <w:b w:val="false"/>
                <w:i w:val="false"/>
                <w:caps w:val="false"/>
                <w:smallCaps w:val="false"/>
                <w:sz w:val="20"/>
              </w:rPr>
              <w:t>of the Accrued Value;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or after the third anniversary of issuance but prior to the fourth anniversary of the issuance, at a redemption price per share equal to 120%</w:t>
            </w:r>
            <w:r>
              <w:rPr>
                <w:caps w:val="false"/>
                <w:smallCaps w:val="false"/>
              </w:rPr>
              <w:t xml:space="preserve"> </w:t>
            </w:r>
            <w:r>
              <w:rPr>
                <w:rFonts w:ascii="Times New Roman;Times;serif" w:hAnsi="Times New Roman;Times;serif"/>
                <w:b w:val="false"/>
                <w:i w:val="false"/>
                <w:caps w:val="false"/>
                <w:smallCaps w:val="false"/>
                <w:sz w:val="20"/>
              </w:rPr>
              <w:t>of the Accrued Value;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or after the fourth anniversary of issuance but prior to the fifth anniversary of the issuance, at a redemption price per share equal to 110%</w:t>
            </w:r>
            <w:r>
              <w:rPr>
                <w:caps w:val="false"/>
                <w:smallCaps w:val="false"/>
              </w:rPr>
              <w:t xml:space="preserve"> </w:t>
            </w:r>
            <w:r>
              <w:rPr>
                <w:rFonts w:ascii="Times New Roman;Times;serif" w:hAnsi="Times New Roman;Times;serif"/>
                <w:b w:val="false"/>
                <w:i w:val="false"/>
                <w:caps w:val="false"/>
                <w:smallCaps w:val="false"/>
                <w:sz w:val="20"/>
              </w:rPr>
              <w:t>of the Accrued Value; and,</w:t>
            </w:r>
          </w:p>
        </w:tc>
      </w:tr>
    </w:tbl>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or after the fifth anniversary of issuance, at a redemption price per share equal to 100%</w:t>
            </w:r>
            <w:r>
              <w:rPr>
                <w:caps w:val="false"/>
                <w:smallCaps w:val="false"/>
              </w:rPr>
              <w:t xml:space="preserve"> </w:t>
            </w:r>
            <w:r>
              <w:rPr>
                <w:rFonts w:ascii="Times New Roman;Times;serif" w:hAnsi="Times New Roman;Times;serif"/>
                <w:b w:val="false"/>
                <w:i w:val="false"/>
                <w:caps w:val="false"/>
                <w:smallCaps w:val="false"/>
                <w:sz w:val="20"/>
              </w:rPr>
              <w:t>of the Accrued Value.</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May 31, 2026, the amount of redeemable Series A Cumulative Convertible Preferred Stock reflected on the unaudited condensed consolidated interim balance sheets is reconciled in the following table:</w:t>
      </w:r>
    </w:p>
    <w:p>
      <w:pPr>
        <w:pStyle w:val="TextBody"/>
        <w:bidi w:val="0"/>
        <w:spacing w:before="0" w:after="0"/>
        <w:ind w:left="0" w:right="0" w:hanging="0"/>
        <w:jc w:val="left"/>
        <w:rPr/>
      </w:pPr>
      <w:r>
        <w:rPr/>
        <w:t>​</w:t>
      </w:r>
    </w:p>
    <w:tbl>
      <w:tblPr>
        <w:tblW w:w="8524" w:type="dxa"/>
        <w:jc w:val="left"/>
        <w:tblInd w:w="0" w:type="dxa"/>
        <w:tblLayout w:type="fixed"/>
        <w:tblCellMar>
          <w:top w:w="0" w:type="dxa"/>
          <w:left w:w="0" w:type="dxa"/>
          <w:bottom w:w="0" w:type="dxa"/>
          <w:right w:w="0" w:type="dxa"/>
        </w:tblCellMar>
      </w:tblPr>
      <w:tblGrid>
        <w:gridCol w:w="6826"/>
        <w:gridCol w:w="346"/>
        <w:gridCol w:w="211"/>
        <w:gridCol w:w="1141"/>
      </w:tblGrid>
      <w:tr>
        <w:trPr/>
        <w:tc>
          <w:tcPr>
            <w:tcW w:w="6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334510" cy="175260"/>
                      <wp:effectExtent l="0" t="0" r="0" b="0"/>
                      <wp:wrapNone/>
                      <wp:docPr id="157" name="Frame157"/>
                      <a:graphic xmlns:a="http://schemas.openxmlformats.org/drawingml/2006/main">
                        <a:graphicData uri="http://schemas.microsoft.com/office/word/2010/wordprocessingShape">
                          <wps:wsp>
                            <wps:cNvSpPr txBox="1"/>
                            <wps:spPr>
                              <a:xfrm>
                                <a:off x="0" y="0"/>
                                <a:ext cx="433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724535" cy="175260"/>
                      <wp:effectExtent l="0" t="0" r="0" b="0"/>
                      <wp:wrapNone/>
                      <wp:docPr id="160" name="Frame16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Redeemable Series A Cumulative Convertible Preferred Stock, November 30, 2025</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proceeds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29,700,000</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Allocation to warrant liability (Note 11)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(4,174,276)</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204,076</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Redeemable Series A Cumulative Convertible Preferred Stock, May 31,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25,729,800</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Equity incentive plan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Upon the de-SPAC transaction (Note 4), the Company implemented a 2025 Equity Incentive Plan (“EIP”). The Company may grant equity-based awards under the EIP, including options, stock appreciation rights (“SARs”), restricted stock units (“RSUs”), restricted stock awards (“RSAs”) and other stock based awards. The maximum number of shares the Company may issue pursuant to awards granted under the 2025 EIP is 4,437,008 shares, subject to an annual increase, to be added on the first day of each fiscal year, commencing on January 1, 2027 and continuing until, and including, January 1, 2035, equal to the lesser of (i) 5% of the outstanding shares of all classes of Common Stock on such date or (ii) such lesser number of shares of Common Stock as determined by the board of directors. As of May 31, 2026, the remaining unused capacity under the 2025 EIP is 2,957,508 shares. During the three and six months ended May 31, 2026, the Company issued 887,375 and 887,375 stock options, respectively, and 592,125 and 592,125 RSUs, respectively.</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Earnout shares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In connection with the de-SPAC transaction (Note 4), the Company has reserved an additional 1,500,000 shares of common stock (“Earnout Share Pool”) in the EIP to be granted to eligible shareholders of the Company. During the Earnout Period, if the Earnout Target is met, or if a change of control transaction occurs during the Earnout Period and the Earnout Target was not already met, the Company will grant 1,500,000 Earnout Shares to the eligible shareholders. The Company evaluated the Earnout Shares under ASC 815-40, </w:t>
      </w:r>
      <w:r>
        <w:rPr>
          <w:rFonts w:ascii="Times New Roman;Times;serif" w:hAnsi="Times New Roman;Times;serif"/>
          <w:i/>
          <w:sz w:val="20"/>
        </w:rPr>
        <w:t>Derivatives and Hedging – Contracts in Entity’s Own Equity</w:t>
      </w:r>
      <w:r>
        <w:rPr>
          <w:rFonts w:ascii="Times New Roman;Times;serif" w:hAnsi="Times New Roman;Times;serif"/>
          <w:sz w:val="20"/>
        </w:rPr>
        <w:t>, and concluded the Earnout Shares meet the definition of an equity instrument, and accordingly will be accounted for as part of additional paid-in capital. No Earnout Share has been issued as of May 31, 2026.</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Stock options</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Activities during the six months ended May 31, 2026:</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April 15, 2026, the Company granted 750,000 stock options to the Chief Executive Officer (the “CEO”) under the Company’s EIP. The options are exercisable at $10.00 per common share and expire on April 15, 2031. </w:t>
      </w:r>
      <w:r>
        <w:rPr>
          <w:rFonts w:ascii="Times New Roman;Times;serif" w:hAnsi="Times New Roman;Times;serif"/>
          <w:b w:val="false"/>
          <w:i w:val="false"/>
          <w:caps w:val="false"/>
          <w:smallCaps w:val="false"/>
          <w:sz w:val="20"/>
        </w:rPr>
        <w:t>One</w:t>
      </w:r>
      <w:r>
        <w:rPr>
          <w:rFonts w:ascii="Times New Roman;Times;serif" w:hAnsi="Times New Roman;Times;serif"/>
          <w:sz w:val="20"/>
        </w:rPr>
        <w:t>-</w:t>
      </w:r>
      <w:r>
        <w:rPr>
          <w:rFonts w:ascii="Times New Roman;Times;serif" w:hAnsi="Times New Roman;Times;serif"/>
          <w:b w:val="false"/>
          <w:i w:val="false"/>
          <w:caps w:val="false"/>
          <w:smallCaps w:val="false"/>
          <w:sz w:val="20"/>
        </w:rPr>
        <w:t>third</w:t>
      </w:r>
      <w:r>
        <w:rPr>
          <w:rFonts w:ascii="Times New Roman;Times;serif" w:hAnsi="Times New Roman;Times;serif"/>
          <w:sz w:val="20"/>
        </w:rPr>
        <w:t xml:space="preserve"> of the options vested immediately on the grant date, with the remaining options vesting in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equal tranches on the first and second anniversaries of the grant date, subject to the recipient’s continued service with the Company.</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On May 6, 2026, the Company granted 96,750 stock options to certain officers, employees and consultants under the Company’s EIP. The options are exercisable at $9.15 per common share and expire on May 6, 2031. </w:t>
      </w:r>
      <w:r>
        <w:rPr>
          <w:rFonts w:ascii="Times New Roman;Times;serif" w:hAnsi="Times New Roman;Times;serif"/>
          <w:b w:val="false"/>
          <w:i w:val="false"/>
          <w:caps w:val="false"/>
          <w:smallCaps w:val="false"/>
          <w:sz w:val="20"/>
        </w:rPr>
        <w:t>One</w:t>
      </w:r>
      <w:r>
        <w:rPr>
          <w:rFonts w:ascii="Times New Roman;Times;serif" w:hAnsi="Times New Roman;Times;serif"/>
          <w:sz w:val="20"/>
        </w:rPr>
        <w:t>-</w:t>
      </w:r>
      <w:r>
        <w:rPr>
          <w:rFonts w:ascii="Times New Roman;Times;serif" w:hAnsi="Times New Roman;Times;serif"/>
          <w:b w:val="false"/>
          <w:i w:val="false"/>
          <w:caps w:val="false"/>
          <w:smallCaps w:val="false"/>
          <w:sz w:val="20"/>
        </w:rPr>
        <w:t>third</w:t>
      </w:r>
      <w:r>
        <w:rPr>
          <w:rFonts w:ascii="Times New Roman;Times;serif" w:hAnsi="Times New Roman;Times;serif"/>
          <w:sz w:val="20"/>
        </w:rPr>
        <w:t xml:space="preserve"> of the options vested immediately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bookmarkStart w:id="1148" w:name="Tc_pzv9BkGbg0Cq0n1nsuXmzg_4_0"/>
      <w:bookmarkStart w:id="1149" w:name="Tc__OBb937a_EOkBFJifO0Vzg_3_2"/>
      <w:bookmarkStart w:id="1150" w:name="Tc_xUJPf49QJkKf4a8nKcfgmQ_3_0"/>
      <w:bookmarkStart w:id="1151" w:name="Tc_L3L9ND6w_EGCxHhpvIXuvA_2_2"/>
      <w:bookmarkStart w:id="1152" w:name="Tc_qzEwITvs_kat0-4_epl1Lg_2_0"/>
      <w:bookmarkStart w:id="1153" w:name="Tc_RcAZPD5K5UOhWKjnkLQ4EQ_1_2"/>
      <w:bookmarkStart w:id="1154" w:name="Tc_XtRkKP19ak--VcuFd4F7uQ_1_0"/>
      <w:bookmarkStart w:id="1155" w:name="Tc_RrJDBNlZXUyx0-UTyEQeEA_9_18"/>
      <w:bookmarkStart w:id="1156" w:name="Tc_fno2L5scdU-V3FIxyy1DpA_9_16"/>
      <w:bookmarkStart w:id="1157" w:name="Tc_JFmiipQr5UWIVzZjcz9JLg_9_11"/>
      <w:bookmarkStart w:id="1158" w:name="Tc_jxW2sPSFw0G2wEvI62PQhg_9_9"/>
      <w:bookmarkStart w:id="1159" w:name="Tc_wv9gNiEsEEWBoLAWui1Cdw_8_18"/>
      <w:bookmarkStart w:id="1160" w:name="Tc_k8uZPWM-ZEKHBwRADQM3UQ_8_16"/>
      <w:bookmarkStart w:id="1161" w:name="Tc_WNQpUVA-m0aRFKDcePdoBg_8_11"/>
      <w:bookmarkStart w:id="1162" w:name="Tc_JftYdi8E2E-RYUoM5U7ohw_8_9"/>
      <w:bookmarkStart w:id="1163" w:name="Tc_-ekZqxNwKEKQOk_sQbzOzw_8_5"/>
      <w:bookmarkStart w:id="1164" w:name="Tc_k_3zIBjVjUSrqNgtqmOhuw_8_4"/>
      <w:bookmarkStart w:id="1165" w:name="Tc_i_rwYukiXUCopKfFQGmQsg_8_2"/>
      <w:bookmarkStart w:id="1166" w:name="Tc_hJC1f-Ziz0yXqNagB1XzcA_8_0"/>
      <w:bookmarkStart w:id="1167" w:name="Tc_DwK6mHxw8UKjP0e2oBlmRA_7_18"/>
      <w:bookmarkStart w:id="1168" w:name="Tc_pL-hJwJc0UOjL97E4FP02A_7_16"/>
      <w:bookmarkStart w:id="1169" w:name="Tc_TVBzyB_S7EeFIIA3N26Y_A_7_11"/>
      <w:bookmarkStart w:id="1170" w:name="Tc_LthXqeGvHEqd68CbK75_2Q_7_9"/>
      <w:bookmarkStart w:id="1171" w:name="Tc_uEcWszMAvUGxt4OZvdQWlg_7_5"/>
      <w:bookmarkStart w:id="1172" w:name="Tc_C0QSOfi9oEOqY3gJBhOBfg_7_4"/>
      <w:bookmarkStart w:id="1173" w:name="Tc_RYKl-N5N8EW6jlhcAKOrSA_7_2"/>
      <w:bookmarkStart w:id="1174" w:name="Tc_tiASVBVSn0yxSwVERW7Pjw_7_0"/>
      <w:bookmarkStart w:id="1175" w:name="Tc_3YM6a5JZYUWskgcWA3Rfmg_6_18"/>
      <w:bookmarkStart w:id="1176" w:name="Tc_gD_0zh86aUeTbbLKHBYQEg_6_11"/>
      <w:bookmarkStart w:id="1177" w:name="Tc_PDm9noacWECtMX0_nYHC8Q_6_4"/>
      <w:bookmarkStart w:id="1178" w:name="Tc_lvb1YQegO0eYjiE7aHx_1g_5_18"/>
      <w:bookmarkStart w:id="1179" w:name="Tc_M-XerCj1TEGST-YphGoJvA_5_16"/>
      <w:bookmarkStart w:id="1180" w:name="Tc_pO2_zPy-WESWOi34hb3n0w_5_14"/>
      <w:bookmarkStart w:id="1181" w:name="Tc_pvpIRHoHo0aKMhW9FHdIxA_5_11"/>
      <w:bookmarkStart w:id="1182" w:name="Tc_PJVHLZ7UKUKWaN8daaTbaA_5_9"/>
      <w:bookmarkStart w:id="1183" w:name="Tc_nYyLRmcng0qdYGgZrOX5Mg_5_7"/>
      <w:bookmarkStart w:id="1184" w:name="Tc_hvxtsTRs3EaiSu4zzYD6mA_5_4"/>
      <w:bookmarkStart w:id="1185" w:name="Tc_OwC1VPdXfEWalmnmQVN32Q_5_2"/>
      <w:bookmarkStart w:id="1186" w:name="Tc_S8J-bqRuiEur9oR_lB07Vw_5_0"/>
      <w:bookmarkStart w:id="1187" w:name="Tc_Qq9c5Gzn2UuT8bt2d0-B1Q_4_18"/>
      <w:bookmarkStart w:id="1188" w:name="Tc_L_kGgHXWwUu_eycZBzhDwg_4_16"/>
      <w:bookmarkStart w:id="1189" w:name="Tc_ZBuA_ZmlP0eTAARj-A_OkA_4_11"/>
      <w:bookmarkStart w:id="1190" w:name="Tc_PM08MD-5kEextmZdnHP8KQ_4_9"/>
      <w:bookmarkStart w:id="1191" w:name="Tc_zfVgjBueyUytx6goFj38vQ_4_4"/>
      <w:bookmarkStart w:id="1192" w:name="Tc_PTkGTD3IEEipRNmCE-SaLw_4_2"/>
      <w:bookmarkStart w:id="1193" w:name="Tc_yCgZpeQH-0KZavXLbJl9Zg_3_18"/>
      <w:bookmarkStart w:id="1194" w:name="Tc_qPEAhN3jC0OwSh_ahJgJIg_3_16"/>
      <w:bookmarkStart w:id="1195" w:name="Tc_dXqWO8RL8kqzaxx30kaRWQ_3_11"/>
      <w:bookmarkStart w:id="1196" w:name="Tc_7YI34gu8_UaHSeqQSq7Y_Q_3_9"/>
      <w:bookmarkStart w:id="1197" w:name="Tc_VDNKSNsDeku00riLaIfd1w_2_16"/>
      <w:bookmarkStart w:id="1198" w:name="Tc_RxuzF2keokyju0DO_3-skw_2_11"/>
      <w:bookmarkStart w:id="1199" w:name="Tc_tQxix1Sxvk-uxogJEzyKgA_2_9"/>
      <w:bookmarkStart w:id="1200" w:name="Tc_mvM2guJ4gU-h-YmGqJmriA_1_14"/>
      <w:bookmarkStart w:id="1201" w:name="Tc_dMHGIB1wMUuFgTT4HilvQQ_1_7"/>
      <w:bookmarkStart w:id="1202" w:name="_30c92656_af66_4168_9978_43715754dbf2"/>
      <w:bookmarkStart w:id="1203" w:name="Tc__uKeoyFIKE6cOgWyci7TQA_5_4"/>
      <w:bookmarkStart w:id="1204" w:name="Tc_NYq4UMMbI02xGxevyiqB_g_5_0"/>
      <w:bookmarkStart w:id="1205" w:name="Tc_z8kBZoZr9UqHAoTvWfs75A_4_0"/>
      <w:bookmarkStart w:id="1206" w:name="Tc_YyC9Sen6WECtf410nZ7QGw_3_5"/>
      <w:bookmarkStart w:id="1207" w:name="Tc_4WjeTqDfGU6xwvl4RaZfhA_3_4"/>
      <w:bookmarkStart w:id="1208" w:name="Tc_CYCW0fleD06IR2Wm_qpa7w_3_2"/>
      <w:bookmarkStart w:id="1209" w:name="Tc_iPY5emu75kSquFHvj-o7hw_3_0"/>
      <w:bookmarkStart w:id="1210" w:name="Tc_AeWvRS1pJ0aCsFZp446EJA_2_4"/>
      <w:bookmarkStart w:id="1211" w:name="Tc_44Nf7xi2kEydJPTL04db5w_2_2"/>
      <w:bookmarkStart w:id="1212" w:name="Tc_yofOoHeSmUmjgzJvIrXfFQ_1_4"/>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r>
        <w:rPr>
          <w:rFonts w:ascii="Times New Roman;Times;serif" w:hAnsi="Times New Roman;Times;serif"/>
          <w:sz w:val="20"/>
        </w:rPr>
        <w:t xml:space="preserve">on the grant date, with the remaining options vesting in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equal tranches on the first and second anniversaries of the grant date, subject to the recipient’s continued service with the Company.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May 6, 2026, the Company granted 40,625 stock options to certain directors under the Company’s EIP. The options are exercisable at $9.15 per common share and expire on May 6, 2031. </w:t>
      </w:r>
      <w:r>
        <w:rPr>
          <w:rFonts w:ascii="Times New Roman;Times;serif" w:hAnsi="Times New Roman;Times;serif"/>
          <w:b w:val="false"/>
          <w:i w:val="false"/>
          <w:caps w:val="false"/>
          <w:smallCaps w:val="false"/>
          <w:sz w:val="20"/>
        </w:rPr>
        <w:t>One</w:t>
      </w:r>
      <w:r>
        <w:rPr>
          <w:rFonts w:ascii="Times New Roman;Times;serif" w:hAnsi="Times New Roman;Times;serif"/>
          <w:sz w:val="20"/>
        </w:rPr>
        <w:t>-</w:t>
      </w:r>
      <w:r>
        <w:rPr>
          <w:rFonts w:ascii="Times New Roman;Times;serif" w:hAnsi="Times New Roman;Times;serif"/>
          <w:b w:val="false"/>
          <w:i w:val="false"/>
          <w:caps w:val="false"/>
          <w:smallCaps w:val="false"/>
          <w:sz w:val="20"/>
        </w:rPr>
        <w:t>half</w:t>
      </w:r>
      <w:r>
        <w:rPr>
          <w:rFonts w:ascii="Times New Roman;Times;serif" w:hAnsi="Times New Roman;Times;serif"/>
          <w:sz w:val="20"/>
        </w:rPr>
        <w:t xml:space="preserve"> of the options vested immediately on the grant date, with the remaining options vesting on the first anniversary of the grant date, subject to the recipient’s continued service with the Company.</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Activities during the six months ended May 31, 2025: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No stock options were issued during the six months ended May 31, 2025.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May 31, 2026, the continuity of stock options is as follows:</w:t>
      </w:r>
    </w:p>
    <w:p>
      <w:pPr>
        <w:pStyle w:val="TextBody"/>
        <w:bidi w:val="0"/>
        <w:spacing w:before="0" w:after="0"/>
        <w:ind w:left="0" w:right="0" w:hanging="0"/>
        <w:jc w:val="left"/>
        <w:rPr/>
      </w:pPr>
      <w:r>
        <w:rPr/>
        <w:t>​</w:t>
      </w:r>
    </w:p>
    <w:tbl>
      <w:tblPr>
        <w:tblW w:w="6545" w:type="dxa"/>
        <w:jc w:val="left"/>
        <w:tblInd w:w="0" w:type="dxa"/>
        <w:tblLayout w:type="fixed"/>
        <w:tblCellMar>
          <w:top w:w="0" w:type="dxa"/>
          <w:left w:w="0" w:type="dxa"/>
          <w:bottom w:w="0" w:type="dxa"/>
          <w:right w:w="0" w:type="dxa"/>
        </w:tblCellMar>
      </w:tblPr>
      <w:tblGrid>
        <w:gridCol w:w="2476"/>
        <w:gridCol w:w="346"/>
        <w:gridCol w:w="1876"/>
        <w:gridCol w:w="346"/>
        <w:gridCol w:w="405"/>
        <w:gridCol w:w="109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572260" cy="175260"/>
                      <wp:effectExtent l="0" t="0" r="0" b="0"/>
                      <wp:wrapNone/>
                      <wp:docPr id="161" name="Frame161"/>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191260" cy="175260"/>
                      <wp:effectExtent l="0" t="0" r="0" b="0"/>
                      <wp:wrapNone/>
                      <wp:docPr id="163" name="Frame163"/>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57175" cy="175260"/>
                      <wp:effectExtent l="0" t="0" r="0" b="0"/>
                      <wp:wrapNone/>
                      <wp:docPr id="165" name="Frame165"/>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5960" cy="175260"/>
                      <wp:effectExtent l="0" t="0" r="0" b="0"/>
                      <wp:wrapNone/>
                      <wp:docPr id="166" name="Frame16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8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4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stock options</w:t>
            </w:r>
          </w:p>
        </w:tc>
        <w:tc>
          <w:tcPr>
            <w:tcW w:w="346" w:type="dxa"/>
            <w:tcBorders/>
            <w:vAlign w:val="center"/>
          </w:tcPr>
          <w:p>
            <w:pPr>
              <w:pStyle w:val="TableContents"/>
              <w:bidi w:val="0"/>
              <w:spacing w:before="0" w:after="1"/>
              <w:ind w:left="0" w:right="0" w:hanging="0"/>
              <w:jc w:val="center"/>
              <w:rPr/>
            </w:pPr>
            <w:r>
              <w:rPr/>
              <w:t>​</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November 30, 2025</w:t>
            </w:r>
          </w:p>
        </w:tc>
        <w:tc>
          <w:tcPr>
            <w:tcW w:w="346" w:type="dxa"/>
            <w:tcBorders/>
            <w:shd w:fill="CCEEFF" w:val="clear"/>
            <w:vAlign w:val="center"/>
          </w:tcPr>
          <w:p>
            <w:pPr>
              <w:pStyle w:val="TableContents"/>
              <w:bidi w:val="0"/>
              <w:spacing w:before="0" w:after="1"/>
              <w:ind w:left="0" w:right="0" w:hanging="0"/>
              <w:jc w:val="left"/>
              <w:rPr/>
            </w:pPr>
            <w:r>
              <w:rPr/>
              <w:t> </w:t>
            </w:r>
          </w:p>
        </w:tc>
        <w:tc>
          <w:tcPr>
            <w:tcW w:w="18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18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887,375</w:t>
            </w:r>
          </w:p>
        </w:tc>
        <w:tc>
          <w:tcPr>
            <w:tcW w:w="346" w:type="dxa"/>
            <w:tcBorders/>
            <w:vAlign w:val="center"/>
          </w:tcPr>
          <w:p>
            <w:pPr>
              <w:pStyle w:val="TableContents"/>
              <w:bidi w:val="0"/>
              <w:spacing w:before="0" w:after="1"/>
              <w:ind w:left="0" w:right="0" w:hanging="0"/>
              <w:jc w:val="left"/>
              <w:rPr/>
            </w:pPr>
            <w:r>
              <w:rPr/>
              <w:t>​</w:t>
            </w:r>
          </w:p>
        </w:tc>
        <w:tc>
          <w:tcPr>
            <w:tcW w:w="40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9.87</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May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18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887,375</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9.87</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May 31, 2026, the following stock options were outstanding and exercisable:</w:t>
      </w:r>
    </w:p>
    <w:tbl>
      <w:tblPr>
        <w:tblW w:w="10205" w:type="dxa"/>
        <w:jc w:val="left"/>
        <w:tblInd w:w="0" w:type="dxa"/>
        <w:tblLayout w:type="fixed"/>
        <w:tblCellMar>
          <w:top w:w="0" w:type="dxa"/>
          <w:left w:w="0" w:type="dxa"/>
          <w:bottom w:w="0" w:type="dxa"/>
          <w:right w:w="0" w:type="dxa"/>
        </w:tblCellMar>
      </w:tblPr>
      <w:tblGrid>
        <w:gridCol w:w="698"/>
        <w:gridCol w:w="346"/>
        <w:gridCol w:w="713"/>
        <w:gridCol w:w="346"/>
        <w:gridCol w:w="346"/>
        <w:gridCol w:w="571"/>
        <w:gridCol w:w="346"/>
        <w:gridCol w:w="781"/>
        <w:gridCol w:w="346"/>
        <w:gridCol w:w="900"/>
        <w:gridCol w:w="346"/>
        <w:gridCol w:w="214"/>
        <w:gridCol w:w="582"/>
        <w:gridCol w:w="346"/>
        <w:gridCol w:w="781"/>
        <w:gridCol w:w="346"/>
        <w:gridCol w:w="900"/>
        <w:gridCol w:w="346"/>
        <w:gridCol w:w="254"/>
        <w:gridCol w:w="697"/>
      </w:tblGrid>
      <w:tr>
        <w:trPr/>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43230" cy="175260"/>
                      <wp:effectExtent l="0" t="0" r="0" b="0"/>
                      <wp:wrapNone/>
                      <wp:docPr id="167" name="Frame167"/>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52755" cy="175260"/>
                      <wp:effectExtent l="0" t="0" r="0" b="0"/>
                      <wp:wrapNone/>
                      <wp:docPr id="169" name="Frame169"/>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362585" cy="175260"/>
                      <wp:effectExtent l="0" t="0" r="0" b="0"/>
                      <wp:wrapNone/>
                      <wp:docPr id="172" name="Frame17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95935" cy="175260"/>
                      <wp:effectExtent l="0" t="0" r="0" b="0"/>
                      <wp:wrapNone/>
                      <wp:docPr id="174" name="Frame1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71500" cy="175260"/>
                      <wp:effectExtent l="0" t="0" r="0" b="0"/>
                      <wp:wrapNone/>
                      <wp:docPr id="176" name="Frame176"/>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5890" cy="175260"/>
                      <wp:effectExtent l="0" t="0" r="0" b="0"/>
                      <wp:wrapNone/>
                      <wp:docPr id="178" name="Frame178"/>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69570" cy="175260"/>
                      <wp:effectExtent l="0" t="0" r="0" b="0"/>
                      <wp:wrapNone/>
                      <wp:docPr id="179" name="Frame179"/>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95935" cy="175260"/>
                      <wp:effectExtent l="0" t="0" r="0" b="0"/>
                      <wp:wrapNone/>
                      <wp:docPr id="181" name="Frame18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71500" cy="175260"/>
                      <wp:effectExtent l="0" t="0" r="0" b="0"/>
                      <wp:wrapNone/>
                      <wp:docPr id="183" name="Frame183"/>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61290" cy="175260"/>
                      <wp:effectExtent l="0" t="0" r="0" b="0"/>
                      <wp:wrapNone/>
                      <wp:docPr id="185" name="Frame185"/>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42595" cy="175260"/>
                      <wp:effectExtent l="0" t="0" r="0" b="0"/>
                      <wp:wrapNone/>
                      <wp:docPr id="186" name="Frame186"/>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1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571"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w:t>
            </w:r>
          </w:p>
        </w:tc>
        <w:tc>
          <w:tcPr>
            <w:tcW w:w="3169"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 Options</w:t>
            </w:r>
          </w:p>
        </w:tc>
        <w:tc>
          <w:tcPr>
            <w:tcW w:w="346" w:type="dxa"/>
            <w:tcBorders/>
            <w:vAlign w:val="center"/>
          </w:tcPr>
          <w:p>
            <w:pPr>
              <w:pStyle w:val="TableContents"/>
              <w:bidi w:val="0"/>
              <w:spacing w:before="0" w:after="1"/>
              <w:ind w:left="0" w:right="0" w:hanging="0"/>
              <w:jc w:val="center"/>
              <w:rPr/>
            </w:pPr>
            <w:r>
              <w:rPr/>
              <w:t>​</w:t>
            </w:r>
          </w:p>
        </w:tc>
        <w:tc>
          <w:tcPr>
            <w:tcW w:w="3324"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Exercisable Options</w:t>
            </w:r>
          </w:p>
        </w:tc>
      </w:tr>
      <w:tr>
        <w:trPr/>
        <w:tc>
          <w:tcPr>
            <w:tcW w:w="69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1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center"/>
              <w:rPr/>
            </w:pPr>
            <w:r>
              <w:rPr/>
              <w:t>​</w:t>
            </w:r>
          </w:p>
        </w:tc>
        <w:tc>
          <w:tcPr>
            <w:tcW w:w="9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center"/>
              <w:rPr/>
            </w:pPr>
            <w:r>
              <w:rPr/>
              <w:t>​</w:t>
            </w:r>
          </w:p>
        </w:tc>
        <w:tc>
          <w:tcPr>
            <w:tcW w:w="9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center"/>
              <w:rPr/>
            </w:pPr>
            <w:r>
              <w:rPr/>
              <w:t>​</w:t>
            </w:r>
          </w:p>
        </w:tc>
        <w:tc>
          <w:tcPr>
            <w:tcW w:w="254" w:type="dxa"/>
            <w:tcBorders/>
            <w:vAlign w:val="center"/>
          </w:tcPr>
          <w:p>
            <w:pPr>
              <w:pStyle w:val="TableContents"/>
              <w:bidi w:val="0"/>
              <w:spacing w:before="0" w:after="1"/>
              <w:ind w:left="0" w:right="0" w:hanging="0"/>
              <w:jc w:val="center"/>
              <w:rPr/>
            </w:pPr>
            <w:r>
              <w:rPr/>
              <w:t>  ​</w:t>
            </w:r>
          </w:p>
        </w:tc>
        <w:tc>
          <w:tcPr>
            <w:tcW w:w="697" w:type="dxa"/>
            <w:tcBorders/>
            <w:vAlign w:val="center"/>
          </w:tcPr>
          <w:p>
            <w:pPr>
              <w:pStyle w:val="TableContents"/>
              <w:bidi w:val="0"/>
              <w:spacing w:before="0" w:after="1"/>
              <w:ind w:left="0" w:right="0" w:hanging="0"/>
              <w:jc w:val="center"/>
              <w:rPr/>
            </w:pPr>
            <w:r>
              <w:rPr/>
              <w:t> </w:t>
            </w:r>
          </w:p>
        </w:tc>
      </w:tr>
      <w:tr>
        <w:trPr/>
        <w:tc>
          <w:tcPr>
            <w:tcW w:w="69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1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9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69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1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Expiry</w:t>
            </w:r>
          </w:p>
        </w:tc>
        <w:tc>
          <w:tcPr>
            <w:tcW w:w="34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1"/>
              <w:ind w:left="0" w:right="0" w:hanging="0"/>
              <w:jc w:val="center"/>
              <w:rPr/>
            </w:pPr>
            <w:r>
              <w:rPr/>
              <w:t>​</w:t>
            </w:r>
          </w:p>
        </w:tc>
        <w:tc>
          <w:tcPr>
            <w:tcW w:w="9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698"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Grant Date</w:t>
            </w:r>
          </w:p>
        </w:tc>
        <w:tc>
          <w:tcPr>
            <w:tcW w:w="346" w:type="dxa"/>
            <w:tcBorders/>
            <w:vAlign w:val="center"/>
          </w:tcPr>
          <w:p>
            <w:pPr>
              <w:pStyle w:val="TableContents"/>
              <w:bidi w:val="0"/>
              <w:spacing w:before="0" w:after="1"/>
              <w:ind w:left="0" w:right="0" w:hanging="0"/>
              <w:jc w:val="center"/>
              <w:rPr/>
            </w:pPr>
            <w:r>
              <w:rPr/>
              <w:t>​</w:t>
            </w:r>
          </w:p>
        </w:tc>
        <w:tc>
          <w:tcPr>
            <w:tcW w:w="71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1"/>
              <w:ind w:left="0" w:right="0" w:hanging="0"/>
              <w:jc w:val="center"/>
              <w:rPr/>
            </w:pPr>
            <w:r>
              <w:rPr/>
              <w:t>​</w:t>
            </w:r>
          </w:p>
        </w:tc>
        <w:tc>
          <w:tcPr>
            <w:tcW w:w="9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w:t>
            </w:r>
          </w:p>
        </w:tc>
        <w:tc>
          <w:tcPr>
            <w:tcW w:w="346" w:type="dxa"/>
            <w:tcBorders/>
            <w:vAlign w:val="center"/>
          </w:tcPr>
          <w:p>
            <w:pPr>
              <w:pStyle w:val="TableContents"/>
              <w:bidi w:val="0"/>
              <w:spacing w:before="0" w:after="1"/>
              <w:ind w:left="0" w:right="0" w:hanging="0"/>
              <w:jc w:val="center"/>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1"/>
              <w:ind w:left="0" w:right="0" w:hanging="0"/>
              <w:jc w:val="center"/>
              <w:rPr/>
            </w:pPr>
            <w:r>
              <w:rPr/>
              <w:t>​</w:t>
            </w:r>
          </w:p>
        </w:tc>
        <w:tc>
          <w:tcPr>
            <w:tcW w:w="90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w:t>
            </w:r>
          </w:p>
        </w:tc>
        <w:tc>
          <w:tcPr>
            <w:tcW w:w="346" w:type="dxa"/>
            <w:tcBorders/>
            <w:vAlign w:val="center"/>
          </w:tcPr>
          <w:p>
            <w:pPr>
              <w:pStyle w:val="TableContents"/>
              <w:bidi w:val="0"/>
              <w:spacing w:before="0" w:after="1"/>
              <w:ind w:left="0" w:right="0" w:hanging="0"/>
              <w:jc w:val="center"/>
              <w:rPr/>
            </w:pPr>
            <w:r>
              <w:rPr/>
              <w:t>​</w:t>
            </w:r>
          </w:p>
        </w:tc>
        <w:tc>
          <w:tcPr>
            <w:tcW w:w="9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r>
      <w:tr>
        <w:trPr/>
        <w:tc>
          <w:tcPr>
            <w:tcW w:w="6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13"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69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15-Apr-26</w:t>
            </w:r>
          </w:p>
        </w:tc>
        <w:tc>
          <w:tcPr>
            <w:tcW w:w="346" w:type="dxa"/>
            <w:tcBorders/>
            <w:shd w:fill="CCEEFF" w:val="clear"/>
            <w:vAlign w:val="center"/>
          </w:tcPr>
          <w:p>
            <w:pPr>
              <w:pStyle w:val="TableContents"/>
              <w:bidi w:val="0"/>
              <w:spacing w:before="0" w:after="1"/>
              <w:ind w:left="0" w:right="0" w:hanging="0"/>
              <w:jc w:val="left"/>
              <w:rPr/>
            </w:pPr>
            <w:r>
              <w:rPr/>
              <w:t>​</w:t>
            </w:r>
          </w:p>
        </w:tc>
        <w:tc>
          <w:tcPr>
            <w:tcW w:w="71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15-Apr-31</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750,000</w:t>
            </w:r>
          </w:p>
        </w:tc>
        <w:tc>
          <w:tcPr>
            <w:tcW w:w="346"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 years</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250,000</w:t>
            </w:r>
          </w:p>
        </w:tc>
        <w:tc>
          <w:tcPr>
            <w:tcW w:w="346"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 years</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69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6-May-26</w:t>
            </w:r>
          </w:p>
        </w:tc>
        <w:tc>
          <w:tcPr>
            <w:tcW w:w="346" w:type="dxa"/>
            <w:tcBorders/>
            <w:vAlign w:val="center"/>
          </w:tcPr>
          <w:p>
            <w:pPr>
              <w:pStyle w:val="TableContents"/>
              <w:bidi w:val="0"/>
              <w:spacing w:before="0" w:after="1"/>
              <w:ind w:left="0" w:right="0" w:hanging="0"/>
              <w:jc w:val="left"/>
              <w:rPr/>
            </w:pPr>
            <w:r>
              <w:rPr/>
              <w:t>​</w:t>
            </w:r>
          </w:p>
        </w:tc>
        <w:tc>
          <w:tcPr>
            <w:tcW w:w="71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6-May-31</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137,375</w:t>
            </w:r>
          </w:p>
        </w:tc>
        <w:tc>
          <w:tcPr>
            <w:tcW w:w="346" w:type="dxa"/>
            <w:tcBorders/>
            <w:vAlign w:val="center"/>
          </w:tcPr>
          <w:p>
            <w:pPr>
              <w:pStyle w:val="TableContents"/>
              <w:bidi w:val="0"/>
              <w:spacing w:before="0" w:after="1"/>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 years</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52,564</w:t>
            </w:r>
          </w:p>
        </w:tc>
        <w:tc>
          <w:tcPr>
            <w:tcW w:w="346" w:type="dxa"/>
            <w:tcBorders/>
            <w:vAlign w:val="center"/>
          </w:tcPr>
          <w:p>
            <w:pPr>
              <w:pStyle w:val="TableContents"/>
              <w:bidi w:val="0"/>
              <w:spacing w:before="0" w:after="1"/>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 years</w:t>
            </w:r>
          </w:p>
        </w:tc>
        <w:tc>
          <w:tcPr>
            <w:tcW w:w="346"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w:t>
            </w:r>
          </w:p>
        </w:tc>
      </w:tr>
      <w:tr>
        <w:trPr/>
        <w:tc>
          <w:tcPr>
            <w:tcW w:w="69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1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887,375</w:t>
            </w:r>
          </w:p>
        </w:tc>
        <w:tc>
          <w:tcPr>
            <w:tcW w:w="346" w:type="dxa"/>
            <w:tcBorders/>
            <w:shd w:fill="CCEEFF" w:val="clear"/>
            <w:vAlign w:val="center"/>
          </w:tcPr>
          <w:p>
            <w:pPr>
              <w:pStyle w:val="TableContents"/>
              <w:bidi w:val="0"/>
              <w:spacing w:before="0" w:after="1"/>
              <w:ind w:left="0" w:right="0" w:hanging="0"/>
              <w:jc w:val="left"/>
              <w:rPr/>
            </w:pPr>
            <w:r>
              <w:rPr/>
              <w:t> </w:t>
            </w:r>
          </w:p>
        </w:tc>
        <w:tc>
          <w:tcPr>
            <w:tcW w:w="9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 years</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9.87</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302,564</w:t>
            </w:r>
          </w:p>
        </w:tc>
        <w:tc>
          <w:tcPr>
            <w:tcW w:w="346" w:type="dxa"/>
            <w:tcBorders/>
            <w:shd w:fill="CCEEFF" w:val="clear"/>
            <w:vAlign w:val="center"/>
          </w:tcPr>
          <w:p>
            <w:pPr>
              <w:pStyle w:val="TableContents"/>
              <w:bidi w:val="0"/>
              <w:spacing w:before="0" w:after="1"/>
              <w:ind w:left="0" w:right="0" w:hanging="0"/>
              <w:jc w:val="left"/>
              <w:rPr/>
            </w:pPr>
            <w:r>
              <w:rPr/>
              <w:t> </w:t>
            </w:r>
          </w:p>
        </w:tc>
        <w:tc>
          <w:tcPr>
            <w:tcW w:w="9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 years</w:t>
            </w:r>
          </w:p>
        </w:tc>
        <w:tc>
          <w:tcPr>
            <w:tcW w:w="346"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9.85</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May 31, 2026, the intrinsic value of outstanding options and exercisable options are $187,759 and $68,885, respectively.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fair value of the options was determined using the </w:t>
      </w:r>
      <w:r>
        <w:rPr>
          <w:rFonts w:ascii="Times New Roman;Times;serif" w:hAnsi="Times New Roman;Times;serif"/>
          <w:b w:val="false"/>
          <w:i w:val="false"/>
          <w:caps w:val="false"/>
          <w:smallCaps w:val="false"/>
          <w:sz w:val="20"/>
        </w:rPr>
        <w:t>Black-Scholes</w:t>
      </w:r>
      <w:r>
        <w:rPr>
          <w:rFonts w:ascii="Times New Roman;Times;serif" w:hAnsi="Times New Roman;Times;serif"/>
          <w:sz w:val="20"/>
        </w:rPr>
        <w:t xml:space="preserve"> option pricing model and is recognized as share-based compensation expense over the requisite service period. Based on the below inputs, the Company determined that the stock options had a fair value of $5,783,245 upon issuance during the six months ended May 31, 2026.</w:t>
      </w:r>
    </w:p>
    <w:p>
      <w:pPr>
        <w:pStyle w:val="TextBody"/>
        <w:bidi w:val="0"/>
        <w:spacing w:before="0" w:after="0"/>
        <w:ind w:left="0" w:right="0" w:hanging="0"/>
        <w:jc w:val="left"/>
        <w:rPr/>
      </w:pPr>
      <w:r>
        <w:rPr/>
        <w:t>​</w:t>
      </w:r>
    </w:p>
    <w:tbl>
      <w:tblPr>
        <w:tblW w:w="3993" w:type="dxa"/>
        <w:jc w:val="left"/>
        <w:tblInd w:w="0" w:type="dxa"/>
        <w:tblLayout w:type="fixed"/>
        <w:tblCellMar>
          <w:top w:w="0" w:type="dxa"/>
          <w:left w:w="0" w:type="dxa"/>
          <w:bottom w:w="0" w:type="dxa"/>
          <w:right w:w="0" w:type="dxa"/>
        </w:tblCellMar>
      </w:tblPr>
      <w:tblGrid>
        <w:gridCol w:w="1831"/>
        <w:gridCol w:w="346"/>
        <w:gridCol w:w="1816"/>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162685" cy="175260"/>
                      <wp:effectExtent l="0" t="0" r="0" b="0"/>
                      <wp:wrapNone/>
                      <wp:docPr id="187" name="Frame187"/>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153160" cy="175260"/>
                      <wp:effectExtent l="0" t="0" r="0" b="0"/>
                      <wp:wrapNone/>
                      <wp:docPr id="189" name="Frame189"/>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shd w:fill="CCEEFF" w:val="clear"/>
            <w:vAlign w:val="center"/>
          </w:tcPr>
          <w:p>
            <w:pPr>
              <w:pStyle w:val="TableContents"/>
              <w:bidi w:val="0"/>
              <w:spacing w:before="0" w:after="1"/>
              <w:ind w:left="0" w:right="0" w:hanging="0"/>
              <w:jc w:val="left"/>
              <w:rPr/>
            </w:pPr>
            <w:r>
              <w:rPr/>
              <w:t>  ​ ​ ​</w:t>
            </w:r>
          </w:p>
        </w:tc>
        <w:tc>
          <w:tcPr>
            <w:tcW w:w="18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114.01% – 114.36%</w:t>
            </w:r>
          </w:p>
        </w:tc>
      </w:tr>
      <w:tr>
        <w:trPr/>
        <w:tc>
          <w:tcPr>
            <w:tcW w:w="1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46" w:type="dxa"/>
            <w:tcBorders/>
            <w:vAlign w:val="center"/>
          </w:tcPr>
          <w:p>
            <w:pPr>
              <w:pStyle w:val="TableContents"/>
              <w:bidi w:val="0"/>
              <w:spacing w:before="0" w:after="1"/>
              <w:ind w:left="0" w:right="0" w:hanging="0"/>
              <w:jc w:val="left"/>
              <w:rPr/>
            </w:pPr>
            <w:r>
              <w:rPr/>
              <w:t> </w:t>
            </w:r>
          </w:p>
        </w:tc>
        <w:tc>
          <w:tcPr>
            <w:tcW w:w="18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 years – 3 years</w:t>
            </w:r>
          </w:p>
        </w:tc>
      </w:tr>
      <w:tr>
        <w:trPr/>
        <w:tc>
          <w:tcPr>
            <w:tcW w:w="18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 free interest rate</w:t>
            </w:r>
          </w:p>
        </w:tc>
        <w:tc>
          <w:tcPr>
            <w:tcW w:w="346" w:type="dxa"/>
            <w:tcBorders/>
            <w:shd w:fill="CCEEFF" w:val="clear"/>
            <w:vAlign w:val="center"/>
          </w:tcPr>
          <w:p>
            <w:pPr>
              <w:pStyle w:val="TableContents"/>
              <w:bidi w:val="0"/>
              <w:spacing w:before="0" w:after="1"/>
              <w:ind w:left="0" w:right="0" w:hanging="0"/>
              <w:jc w:val="left"/>
              <w:rPr/>
            </w:pPr>
            <w:r>
              <w:rPr/>
              <w:t> </w:t>
            </w:r>
          </w:p>
        </w:tc>
        <w:tc>
          <w:tcPr>
            <w:tcW w:w="18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 - 3.99%</w:t>
            </w:r>
          </w:p>
        </w:tc>
      </w:tr>
      <w:tr>
        <w:trPr/>
        <w:tc>
          <w:tcPr>
            <w:tcW w:w="18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vAlign w:val="center"/>
          </w:tcPr>
          <w:p>
            <w:pPr>
              <w:pStyle w:val="TableContents"/>
              <w:bidi w:val="0"/>
              <w:spacing w:before="0" w:after="1"/>
              <w:ind w:left="0" w:right="0" w:hanging="0"/>
              <w:jc w:val="left"/>
              <w:rPr/>
            </w:pPr>
            <w:r>
              <w:rPr/>
              <w:t> </w:t>
            </w:r>
          </w:p>
        </w:tc>
        <w:tc>
          <w:tcPr>
            <w:tcW w:w="1816"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and six months ended May 31, 2026, the Company recognized stock based compensation relating to stock options of $2,308,868 and $2,308,868 (May 31, 2025 - $Nil and $Nil), respectively, identical as all grants were made during the three months ended May 31, 2026. For the six months ended May 31, 2026, the Company recognized stock based compensation expenses of $1,987,317 in salaries and wages; $283,541 in professional fees (Note 14); and $38,010 in business development. Future unrecognized stock-based compensation expense arising from the stock options amount to $3,474,377.</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b/>
          <w:sz w:val="20"/>
        </w:rPr>
      </w:pPr>
      <w:bookmarkStart w:id="1213" w:name="Tc_NvPnJ3WDHkqGcvgF4DbsGw_8_4"/>
      <w:bookmarkStart w:id="1214" w:name="Tc_l4AoeaAxg0GYSPA3zHQanQ_8_0"/>
      <w:bookmarkStart w:id="1215" w:name="Tc_FW2BQb5tXkasmwwN9MxwIg_7_7"/>
      <w:bookmarkStart w:id="1216" w:name="Tc_VqwMv-D6r0q2VPKzszph-w_7_0"/>
      <w:bookmarkStart w:id="1217" w:name="Tc_sjGVqxIf7Uav7IYgZnZeDg_6_7"/>
      <w:bookmarkStart w:id="1218" w:name="Tc__FxaWq_HF0uv5CS1jcy5Ow_6_0"/>
      <w:bookmarkStart w:id="1219" w:name="Tc_YlP8_x-0_UeCpHOostKVwA_5_0"/>
      <w:bookmarkStart w:id="1220" w:name="Tc_khD51PFXIUaFPtpZhNy-KQ_4_0"/>
      <w:bookmarkStart w:id="1221" w:name="Tc_O_SsCmN2wkO7hzOyQMU-Qw_3_7"/>
      <w:bookmarkStart w:id="1222" w:name="Tc_DQQnqFmXjkKqLB79QHQ6Cw_3_5"/>
      <w:bookmarkStart w:id="1223" w:name="Tc_BZuKGBBs70C-JCFBCVmmqA_3_4"/>
      <w:bookmarkStart w:id="1224" w:name="Tc_Tax5yiNGPUGRMDNz87EOIQ_3_2"/>
      <w:bookmarkStart w:id="1225" w:name="Tc_wp8wbaRwbEqZpliFfDI-VQ_3_0"/>
      <w:bookmarkStart w:id="1226" w:name="Tc_sDmbC60d70KHFS_YMiKupw_2_7"/>
      <w:bookmarkStart w:id="1227" w:name="Tc_wlekFAOZt06D2BsyiqsDzg_2_4"/>
      <w:bookmarkStart w:id="1228" w:name="Tc_H4jpzpjAjEufwSFp3NPZvA_2_2"/>
      <w:bookmarkStart w:id="1229" w:name="Tc_FA76aMJnCUWqGftHtJle0Q_1_7"/>
      <w:bookmarkStart w:id="1230" w:name="Tc_Rh_oz9-fKUOuGS-YGVRdcA_1_4"/>
      <w:bookmarkStart w:id="1231" w:name="Tc_lxr4OUf0rkmFFfxReLKNWw_1_2"/>
      <w:bookmarkStart w:id="1232" w:name="_7861d3c7_ee0d_4ff3_81ad_5d249c30ab56"/>
      <w:bookmarkStart w:id="1233" w:name="Tc_Xz70y0qE0EaLkgbmik_2dw_3_2"/>
      <w:bookmarkStart w:id="1234" w:name="Tc_nPigRnnijUuA4wROqJUZ5A_2_2"/>
      <w:bookmarkStart w:id="1235" w:name="Tc_i2dQAt0jrkiHP_4Wdm8OVg_1_4"/>
      <w:bookmarkStart w:id="1236" w:name="Tc_wR7haMpJYkK76rm0JbWCxw_1_2"/>
      <w:bookmarkStart w:id="1237" w:name="Tc_qQdnsDj7WEyq7eHjeqp8hQ_1_0"/>
      <w:bookmarkStart w:id="1238" w:name="_54146590_1662_4877_a3ef_65c22bf11f8b"/>
      <w:bookmarkStart w:id="1239" w:name="Tc_VjmI00ZmnUSB_ig6FGIVAQ_4_0"/>
      <w:bookmarkStart w:id="1240" w:name="Tc_HBBPCzBFS0G0yIcX_uNC5Q_3_0"/>
      <w:bookmarkStart w:id="1241" w:name="Tc_4sbivP7w7Eq00KL-t8i48Q_2_2"/>
      <w:bookmarkStart w:id="1242" w:name="Tc_xMCbHBiKzkS5ixAy49XcVQ_2_0"/>
      <w:bookmarkStart w:id="1243" w:name="Tc_2Tk6AvIBJUiGqP3x0FXMiQ_1_2"/>
      <w:bookmarkStart w:id="1244" w:name="Narr_r3zBj1Ee1EicIIXTDO-0KQ"/>
      <w:bookmarkStart w:id="1245" w:name="Narr_rgh_Gn4P4EiuAv8sr4yNmg"/>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r>
        <w:rPr>
          <w:rFonts w:ascii="Times New Roman;Times;serif" w:hAnsi="Times New Roman;Times;serif"/>
          <w:b/>
          <w:sz w:val="20"/>
        </w:rPr>
        <w:t>Restricted stock units (“RSUs”)</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Activities during the six months ended May 31, 2026:</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April 15, 2026, the Company granted 250,000 RSUs to its CEO under the Company’s EIP. </w:t>
      </w:r>
      <w:r>
        <w:rPr>
          <w:rFonts w:ascii="Times New Roman;Times;serif" w:hAnsi="Times New Roman;Times;serif"/>
          <w:b w:val="false"/>
          <w:i w:val="false"/>
          <w:caps w:val="false"/>
          <w:smallCaps w:val="false"/>
          <w:sz w:val="20"/>
        </w:rPr>
        <w:t>One-third</w:t>
      </w:r>
      <w:r>
        <w:rPr>
          <w:rFonts w:ascii="Times New Roman;Times;serif" w:hAnsi="Times New Roman;Times;serif"/>
          <w:sz w:val="20"/>
        </w:rPr>
        <w:t xml:space="preserve"> of the RSUs </w:t>
      </w:r>
      <w:r>
        <w:rPr>
          <w:rFonts w:ascii="Times New Roman;Times;serif" w:hAnsi="Times New Roman;Times;serif"/>
          <w:b w:val="false"/>
          <w:i w:val="false"/>
          <w:caps w:val="false"/>
          <w:smallCaps w:val="false"/>
          <w:sz w:val="20"/>
        </w:rPr>
        <w:t>vested</w:t>
      </w:r>
      <w:r>
        <w:rPr>
          <w:rFonts w:ascii="Times New Roman;Times;serif" w:hAnsi="Times New Roman;Times;serif"/>
          <w:sz w:val="20"/>
        </w:rPr>
        <w:t xml:space="preserve"> on the grant date, with the remainder vesting equally on the first and second anniversaries of the grant date, subject to continued service. The grant date fair value was $9.52 per RSU.</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May 6, 2026, the Company granted 220,250 RSUs to certain officers, employees and consultants under the Company’s EIP. One-third of the RSUs vested on the grant date, with the remainder vesting equally on the first and second anniversaries of the grant date, subject to continued service. The grant date fair value was $9.15 per RSU.</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May 6, 2026, the Company granted 121,875 RSUs to certain directors under the Company’s EIP. </w:t>
      </w:r>
      <w:r>
        <w:rPr>
          <w:rFonts w:ascii="Times New Roman;Times;serif" w:hAnsi="Times New Roman;Times;serif"/>
          <w:b w:val="false"/>
          <w:i w:val="false"/>
          <w:caps w:val="false"/>
          <w:smallCaps w:val="false"/>
          <w:sz w:val="20"/>
        </w:rPr>
        <w:t>One-half</w:t>
      </w:r>
      <w:r>
        <w:rPr>
          <w:rFonts w:ascii="Times New Roman;Times;serif" w:hAnsi="Times New Roman;Times;serif"/>
          <w:sz w:val="20"/>
        </w:rPr>
        <w:t xml:space="preserve"> of the RSUs </w:t>
      </w:r>
      <w:r>
        <w:rPr>
          <w:rFonts w:ascii="Times New Roman;Times;serif" w:hAnsi="Times New Roman;Times;serif"/>
          <w:b w:val="false"/>
          <w:i w:val="false"/>
          <w:caps w:val="false"/>
          <w:smallCaps w:val="false"/>
          <w:sz w:val="20"/>
        </w:rPr>
        <w:t>vested</w:t>
      </w:r>
      <w:r>
        <w:rPr>
          <w:rFonts w:ascii="Times New Roman;Times;serif" w:hAnsi="Times New Roman;Times;serif"/>
          <w:sz w:val="20"/>
        </w:rPr>
        <w:t xml:space="preserve"> on the grant date, with the remainder vesting on the first anniversary of the grant date, subject to continued service. The grant date fair value was $9.15 per RSU.</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Activities during the six months ended May 31, 2025: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No RSUs were issued during the six months ended May 31, 2025.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May 31, 2026, the continuity of RSUs is as follows:</w:t>
      </w:r>
    </w:p>
    <w:p>
      <w:pPr>
        <w:pStyle w:val="TextBody"/>
        <w:bidi w:val="0"/>
        <w:spacing w:before="0" w:after="0"/>
        <w:ind w:left="0" w:right="0" w:hanging="0"/>
        <w:jc w:val="left"/>
        <w:rPr/>
      </w:pPr>
      <w:r>
        <w:rPr/>
        <w:t>​</w:t>
      </w:r>
    </w:p>
    <w:tbl>
      <w:tblPr>
        <w:tblW w:w="4188" w:type="dxa"/>
        <w:jc w:val="left"/>
        <w:tblInd w:w="0" w:type="dxa"/>
        <w:tblLayout w:type="fixed"/>
        <w:tblCellMar>
          <w:top w:w="0" w:type="dxa"/>
          <w:left w:w="0" w:type="dxa"/>
          <w:bottom w:w="0" w:type="dxa"/>
          <w:right w:w="0" w:type="dxa"/>
        </w:tblCellMar>
      </w:tblPr>
      <w:tblGrid>
        <w:gridCol w:w="2476"/>
        <w:gridCol w:w="346"/>
        <w:gridCol w:w="136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572260" cy="175260"/>
                      <wp:effectExtent l="0" t="0" r="0" b="0"/>
                      <wp:wrapNone/>
                      <wp:docPr id="190" name="Frame190"/>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867410" cy="175260"/>
                      <wp:effectExtent l="0" t="0" r="0" b="0"/>
                      <wp:wrapNone/>
                      <wp:docPr id="192" name="Frame192"/>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RSUs</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November 30, 2025</w:t>
            </w:r>
          </w:p>
        </w:tc>
        <w:tc>
          <w:tcPr>
            <w:tcW w:w="346" w:type="dxa"/>
            <w:tcBorders/>
            <w:shd w:fill="CCEEFF" w:val="clear"/>
            <w:vAlign w:val="center"/>
          </w:tcPr>
          <w:p>
            <w:pPr>
              <w:pStyle w:val="TableContents"/>
              <w:bidi w:val="0"/>
              <w:spacing w:before="0" w:after="1"/>
              <w:ind w:left="0" w:right="0" w:hanging="0"/>
              <w:jc w:val="left"/>
              <w:rPr/>
            </w:pPr>
            <w:r>
              <w:rPr/>
              <w:t>​</w:t>
            </w:r>
          </w:p>
        </w:tc>
        <w:tc>
          <w:tcPr>
            <w:tcW w:w="1366" w:type="dxa"/>
            <w:tcBorders/>
            <w:shd w:fill="CCEEFF" w:val="clear"/>
            <w:vAlign w:val="center"/>
          </w:tcPr>
          <w:p>
            <w:pPr>
              <w:pStyle w:val="TableContents"/>
              <w:bidi w:val="0"/>
              <w:spacing w:before="0" w:after="1"/>
              <w:ind w:left="0" w:right="0" w:hanging="0"/>
              <w:jc w:val="right"/>
              <w:rPr/>
            </w:pPr>
            <w:r>
              <w:rPr/>
              <w:t>—</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w:t>
            </w:r>
          </w:p>
        </w:tc>
        <w:tc>
          <w:tcPr>
            <w:tcW w:w="13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592,125</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May 31, 2026</w:t>
            </w:r>
          </w:p>
        </w:tc>
        <w:tc>
          <w:tcPr>
            <w:tcW w:w="346" w:type="dxa"/>
            <w:tcBorders/>
            <w:shd w:fill="CCEEFF" w:val="clear"/>
            <w:vAlign w:val="center"/>
          </w:tcPr>
          <w:p>
            <w:pPr>
              <w:pStyle w:val="TableContents"/>
              <w:bidi w:val="0"/>
              <w:spacing w:before="0" w:after="1"/>
              <w:ind w:left="0" w:right="0" w:hanging="0"/>
              <w:jc w:val="left"/>
              <w:rPr/>
            </w:pPr>
            <w:r>
              <w:rPr/>
              <w:t>​</w:t>
            </w:r>
          </w:p>
        </w:tc>
        <w:tc>
          <w:tcPr>
            <w:tcW w:w="136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592,125</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May 31, 2026, the following RSUs were outstanding and vested:</w:t>
      </w:r>
    </w:p>
    <w:tbl>
      <w:tblPr>
        <w:tblW w:w="6110" w:type="dxa"/>
        <w:jc w:val="left"/>
        <w:tblInd w:w="0" w:type="dxa"/>
        <w:tblLayout w:type="fixed"/>
        <w:tblCellMar>
          <w:top w:w="0" w:type="dxa"/>
          <w:left w:w="0" w:type="dxa"/>
          <w:bottom w:w="0" w:type="dxa"/>
          <w:right w:w="0" w:type="dxa"/>
        </w:tblCellMar>
      </w:tblPr>
      <w:tblGrid>
        <w:gridCol w:w="2236"/>
        <w:gridCol w:w="346"/>
        <w:gridCol w:w="1291"/>
        <w:gridCol w:w="346"/>
        <w:gridCol w:w="189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419860" cy="175260"/>
                      <wp:effectExtent l="0" t="0" r="0" b="0"/>
                      <wp:wrapNone/>
                      <wp:docPr id="193" name="Frame193"/>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819785" cy="175260"/>
                      <wp:effectExtent l="0" t="0" r="0" b="0"/>
                      <wp:wrapNone/>
                      <wp:docPr id="195" name="Frame195"/>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200785" cy="175260"/>
                      <wp:effectExtent l="0" t="0" r="0" b="0"/>
                      <wp:wrapNone/>
                      <wp:docPr id="197" name="Frame197"/>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RSUs outstanding</w:t>
            </w:r>
          </w:p>
        </w:tc>
        <w:tc>
          <w:tcPr>
            <w:tcW w:w="346" w:type="dxa"/>
            <w:tcBorders/>
            <w:vAlign w:val="center"/>
          </w:tcPr>
          <w:p>
            <w:pPr>
              <w:pStyle w:val="TableContents"/>
              <w:bidi w:val="0"/>
              <w:spacing w:before="0" w:after="1"/>
              <w:ind w:left="0" w:right="0" w:hanging="0"/>
              <w:jc w:val="left"/>
              <w:rPr/>
            </w:pPr>
            <w:r>
              <w:rPr/>
              <w:t>  ​ ​ ​</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46" w:type="dxa"/>
            <w:tcBorders/>
            <w:vAlign w:val="center"/>
          </w:tcPr>
          <w:p>
            <w:pPr>
              <w:pStyle w:val="TableContents"/>
              <w:bidi w:val="0"/>
              <w:spacing w:before="0" w:after="1"/>
              <w:ind w:left="0" w:right="0" w:hanging="0"/>
              <w:jc w:val="left"/>
              <w:rPr/>
            </w:pPr>
            <w:r>
              <w:rPr/>
              <w:t>  ​ ​ ​</w:t>
            </w:r>
          </w:p>
        </w:tc>
        <w:tc>
          <w:tcPr>
            <w:tcW w:w="18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RSUs Vested</w:t>
            </w:r>
          </w:p>
        </w:tc>
      </w:tr>
      <w:tr>
        <w:trPr/>
        <w:tc>
          <w:tcPr>
            <w:tcW w:w="2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250,000</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April 15, 2026</w:t>
            </w:r>
          </w:p>
        </w:tc>
        <w:tc>
          <w:tcPr>
            <w:tcW w:w="346" w:type="dxa"/>
            <w:tcBorders/>
            <w:shd w:fill="CCEEFF" w:val="clear"/>
            <w:vAlign w:val="center"/>
          </w:tcPr>
          <w:p>
            <w:pPr>
              <w:pStyle w:val="TableContents"/>
              <w:bidi w:val="0"/>
              <w:spacing w:before="0" w:after="1"/>
              <w:ind w:left="0" w:right="0" w:hanging="0"/>
              <w:jc w:val="left"/>
              <w:rPr/>
            </w:pPr>
            <w:r>
              <w:rPr/>
              <w:t>​</w:t>
            </w:r>
          </w:p>
        </w:tc>
        <w:tc>
          <w:tcPr>
            <w:tcW w:w="18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83,333</w:t>
            </w:r>
          </w:p>
        </w:tc>
      </w:tr>
      <w:tr>
        <w:trPr/>
        <w:tc>
          <w:tcPr>
            <w:tcW w:w="22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342,125</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May 6, 2026</w:t>
            </w:r>
          </w:p>
        </w:tc>
        <w:tc>
          <w:tcPr>
            <w:tcW w:w="346" w:type="dxa"/>
            <w:tcBorders/>
            <w:vAlign w:val="center"/>
          </w:tcPr>
          <w:p>
            <w:pPr>
              <w:pStyle w:val="TableContents"/>
              <w:bidi w:val="0"/>
              <w:spacing w:before="0" w:after="1"/>
              <w:ind w:left="0" w:right="0" w:hanging="0"/>
              <w:jc w:val="left"/>
              <w:rPr/>
            </w:pPr>
            <w:r>
              <w:rPr/>
              <w:t>​</w:t>
            </w:r>
          </w:p>
        </w:tc>
        <w:tc>
          <w:tcPr>
            <w:tcW w:w="18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134,356</w:t>
            </w:r>
          </w:p>
        </w:tc>
      </w:tr>
      <w:tr>
        <w:trPr/>
        <w:tc>
          <w:tcPr>
            <w:tcW w:w="22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592,125</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9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217,689</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and six months ended May 31, 2026, the Company recognized share-based compensation relating to RSUs of $2,287,304 and $2,287,304 (May 31, 2025 - $Nil and $Nil), respectively, identical as all grants were made during the three months ended May 31, 2026. For the six months ended May 31, 2026, the Company recognized stock based compensation expenses of $1,113,593 in salaries and wages; $1,009,143 in professional fees (Note 14); and $164,568 in business development. Future unrecognized stock-based compensation expense arising from the stock options amount to $3,223,140.</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May 31, 2026, the continuity of share purchase warrants is as follows:</w:t>
      </w:r>
    </w:p>
    <w:tbl>
      <w:tblPr>
        <w:tblW w:w="8016" w:type="dxa"/>
        <w:jc w:val="left"/>
        <w:tblInd w:w="0" w:type="dxa"/>
        <w:tblLayout w:type="fixed"/>
        <w:tblCellMar>
          <w:top w:w="0" w:type="dxa"/>
          <w:left w:w="0" w:type="dxa"/>
          <w:bottom w:w="0" w:type="dxa"/>
          <w:right w:w="0" w:type="dxa"/>
        </w:tblCellMar>
      </w:tblPr>
      <w:tblGrid>
        <w:gridCol w:w="3526"/>
        <w:gridCol w:w="346"/>
        <w:gridCol w:w="1036"/>
        <w:gridCol w:w="346"/>
        <w:gridCol w:w="450"/>
        <w:gridCol w:w="1005"/>
        <w:gridCol w:w="346"/>
        <w:gridCol w:w="961"/>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239010" cy="175260"/>
                      <wp:effectExtent l="0" t="0" r="0" b="0"/>
                      <wp:wrapNone/>
                      <wp:docPr id="198" name="Frame198"/>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57860" cy="175260"/>
                      <wp:effectExtent l="0" t="0" r="0" b="0"/>
                      <wp:wrapNone/>
                      <wp:docPr id="200" name="Frame20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85750" cy="175260"/>
                      <wp:effectExtent l="0" t="0" r="0" b="0"/>
                      <wp:wrapNone/>
                      <wp:docPr id="202" name="Frame202"/>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38175" cy="175260"/>
                      <wp:effectExtent l="0" t="0" r="0" b="0"/>
                      <wp:wrapNone/>
                      <wp:docPr id="203" name="Frame203"/>
                      <a:graphic xmlns:a="http://schemas.openxmlformats.org/drawingml/2006/main">
                        <a:graphicData uri="http://schemas.microsoft.com/office/word/2010/wordprocessingShape">
                          <wps:wsp>
                            <wps:cNvSpPr txBox="1"/>
                            <wps:spPr>
                              <a:xfrm>
                                <a:off x="0" y="0"/>
                                <a:ext cx="63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10235" cy="175260"/>
                      <wp:effectExtent l="0" t="0" r="0" b="0"/>
                      <wp:wrapNone/>
                      <wp:docPr id="205" name="Frame20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left"/>
              <w:rPr/>
            </w:pPr>
            <w:r>
              <w:rPr/>
              <w:t>​</w:t>
            </w:r>
          </w:p>
        </w:tc>
        <w:tc>
          <w:tcPr>
            <w:tcW w:w="14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3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46" w:type="dxa"/>
            <w:tcBorders/>
            <w:vAlign w:val="center"/>
          </w:tcPr>
          <w:p>
            <w:pPr>
              <w:pStyle w:val="TableContents"/>
              <w:bidi w:val="0"/>
              <w:spacing w:before="0" w:after="0"/>
              <w:ind w:left="0" w:right="0" w:hanging="0"/>
              <w:jc w:val="left"/>
              <w:rPr/>
            </w:pPr>
            <w:r>
              <w:rPr/>
              <w:t>  ​ ​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0"/>
              <w:ind w:left="0" w:right="0" w:hanging="0"/>
              <w:jc w:val="left"/>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November 30, 2025</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Issued for PIPE financing</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2,500,000</w:t>
            </w:r>
          </w:p>
        </w:tc>
        <w:tc>
          <w:tcPr>
            <w:tcW w:w="346" w:type="dxa"/>
            <w:tcBorders/>
            <w:vAlign w:val="center"/>
          </w:tcPr>
          <w:p>
            <w:pPr>
              <w:pStyle w:val="TableContents"/>
              <w:bidi w:val="0"/>
              <w:spacing w:before="0" w:after="0"/>
              <w:ind w:left="0" w:right="0" w:hanging="0"/>
              <w:jc w:val="left"/>
              <w:rPr/>
            </w:pPr>
            <w:r>
              <w:rPr/>
              <w:t>​</w:t>
            </w:r>
          </w:p>
        </w:tc>
        <w:tc>
          <w:tcPr>
            <w:tcW w:w="450"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Issued on reverse recapitalization (Note 4)</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20,922,133</w:t>
            </w:r>
          </w:p>
        </w:tc>
        <w:tc>
          <w:tcPr>
            <w:tcW w:w="346" w:type="dxa"/>
            <w:tcBorders/>
            <w:shd w:fill="CCEEFF" w:val="clear"/>
            <w:vAlign w:val="center"/>
          </w:tcPr>
          <w:p>
            <w:pPr>
              <w:pStyle w:val="TableContents"/>
              <w:bidi w:val="0"/>
              <w:spacing w:before="0" w:after="0"/>
              <w:ind w:left="0" w:right="0" w:hanging="0"/>
              <w:jc w:val="left"/>
              <w:rPr/>
            </w:pPr>
            <w:r>
              <w:rPr/>
              <w:t>​</w:t>
            </w:r>
          </w:p>
        </w:tc>
        <w:tc>
          <w:tcPr>
            <w:tcW w:w="450"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 </w:t>
            </w:r>
          </w:p>
        </w:tc>
        <w:tc>
          <w:tcPr>
            <w:tcW w:w="4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May 31, 2026</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23,421,916</w:t>
            </w:r>
          </w:p>
        </w:tc>
        <w:tc>
          <w:tcPr>
            <w:tcW w:w="346" w:type="dxa"/>
            <w:tcBorders/>
            <w:vAlign w:val="center"/>
          </w:tcPr>
          <w:p>
            <w:pPr>
              <w:pStyle w:val="TableContents"/>
              <w:bidi w:val="0"/>
              <w:spacing w:before="0" w:after="0"/>
              <w:ind w:left="0" w:right="0" w:hanging="0"/>
              <w:jc w:val="left"/>
              <w:rPr/>
            </w:pPr>
            <w:r>
              <w:rPr/>
              <w:t> </w:t>
            </w:r>
          </w:p>
        </w:tc>
        <w:tc>
          <w:tcPr>
            <w:tcW w:w="4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bookmarkStart w:id="1246" w:name="Tc_u5BWWPLjDES1CyanFu1Cwg_7_4"/>
      <w:bookmarkStart w:id="1247" w:name="Tc_vxJM1Ay9gEGUsW7A7nI8Yg_6_4"/>
      <w:bookmarkStart w:id="1248" w:name="Tc_I8S6CL-glECKl_kuKk32fQ_6_0"/>
      <w:bookmarkStart w:id="1249" w:name="Tc_tpbG9ua-wUSgwQpbcRXwQg_5_4"/>
      <w:bookmarkStart w:id="1250" w:name="Tc_1uQY-LNc4Eugq26hORU_mg_5_0"/>
      <w:bookmarkStart w:id="1251" w:name="Tc_NAVqTZWuMkC2DVbC8epO3A_4_4"/>
      <w:bookmarkStart w:id="1252" w:name="Tc_RhKi8VF66kKdWOBNwvOMAw_4_0"/>
      <w:bookmarkStart w:id="1253" w:name="Tc_0KWkxE7da0SxAWne6rmonw_3_4"/>
      <w:bookmarkStart w:id="1254" w:name="Tc_g0bqvCJ7mE-T8l5YfDqeTw_3_0"/>
      <w:bookmarkStart w:id="1255" w:name="Tc_uORKem83FEKWqJfD_XnEuQ_2_4"/>
      <w:bookmarkStart w:id="1256" w:name="Tc_k_AK6KTeREqOTVeYZRDoTQ_2_0"/>
      <w:bookmarkStart w:id="1257" w:name="Tc_aSN0eihayESWwn1zhEz6dA_1_4"/>
      <w:bookmarkStart w:id="1258" w:name="Tc_1ZuzI4W8-kiHl9y32bh_5A_1_2"/>
      <w:bookmarkStart w:id="1259" w:name="_c5a60f76_9958_47a7_b958_42f076011f93"/>
      <w:bookmarkStart w:id="1260" w:name="Tc_T-Yi2Q8_QkqzJZPkq8VoIQ_3_5"/>
      <w:bookmarkStart w:id="1261" w:name="Tc_Q00-s3-4DUuN6iNdGo5-Tw_3_2"/>
      <w:bookmarkStart w:id="1262" w:name="Tc_JMjZYyg05EqH-7CshKEz9w_2_5"/>
      <w:bookmarkStart w:id="1263" w:name="Tc_liIjoOFlnUe0VmAB96qCKw_2_2"/>
      <w:bookmarkStart w:id="1264" w:name="Tc_D07pTZdUE02VVRFoNLk6aw_1_5"/>
      <w:bookmarkStart w:id="1265" w:name="Tc_Qzvdu9xatUyKdItIPIKKuQ_1_2"/>
      <w:bookmarkStart w:id="1266" w:name="Tc_pA4hus1ntEu0mFtUK8dtyg_1_0"/>
      <w:bookmarkStart w:id="1267" w:name="_f10bc21c_13b9_4732_a2d4_312a84bdcd56"/>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r>
        <w:rPr>
          <w:rFonts w:ascii="Times New Roman;Times;serif" w:hAnsi="Times New Roman;Times;serif"/>
          <w:sz w:val="20"/>
        </w:rPr>
        <w:t>As of May 31, 2026, the following share purchase warrants were outstanding:</w:t>
      </w:r>
    </w:p>
    <w:tbl>
      <w:tblPr>
        <w:tblW w:w="5944" w:type="dxa"/>
        <w:jc w:val="left"/>
        <w:tblInd w:w="0" w:type="dxa"/>
        <w:tblLayout w:type="fixed"/>
        <w:tblCellMar>
          <w:top w:w="0" w:type="dxa"/>
          <w:left w:w="0" w:type="dxa"/>
          <w:bottom w:w="0" w:type="dxa"/>
          <w:right w:w="0" w:type="dxa"/>
        </w:tblCellMar>
      </w:tblPr>
      <w:tblGrid>
        <w:gridCol w:w="2506"/>
        <w:gridCol w:w="346"/>
        <w:gridCol w:w="299"/>
        <w:gridCol w:w="811"/>
        <w:gridCol w:w="346"/>
        <w:gridCol w:w="163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591310" cy="175260"/>
                      <wp:effectExtent l="0" t="0" r="0" b="0"/>
                      <wp:wrapNone/>
                      <wp:docPr id="206" name="Frame206"/>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89865" cy="175260"/>
                      <wp:effectExtent l="0" t="0" r="0" b="0"/>
                      <wp:wrapNone/>
                      <wp:docPr id="208" name="Frame208"/>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14985" cy="175260"/>
                      <wp:effectExtent l="0" t="0" r="0" b="0"/>
                      <wp:wrapNone/>
                      <wp:docPr id="209" name="Frame20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038860" cy="175260"/>
                      <wp:effectExtent l="0" t="0" r="0" b="0"/>
                      <wp:wrapNone/>
                      <wp:docPr id="211" name="Frame211"/>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warrants outstanding</w:t>
            </w:r>
          </w:p>
        </w:tc>
        <w:tc>
          <w:tcPr>
            <w:tcW w:w="346" w:type="dxa"/>
            <w:tcBorders/>
            <w:vAlign w:val="center"/>
          </w:tcPr>
          <w:p>
            <w:pPr>
              <w:pStyle w:val="TableContents"/>
              <w:bidi w:val="0"/>
              <w:spacing w:before="0" w:after="0"/>
              <w:ind w:left="0" w:right="0" w:hanging="0"/>
              <w:jc w:val="left"/>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0"/>
              <w:ind w:left="0" w:right="0" w:hanging="0"/>
              <w:jc w:val="left"/>
              <w:rPr/>
            </w:pPr>
            <w:r>
              <w:rPr/>
              <w:t>  ​ ​ ​</w:t>
            </w:r>
          </w:p>
        </w:tc>
        <w:tc>
          <w:tcPr>
            <w:tcW w:w="16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Expiry date</w:t>
            </w:r>
          </w:p>
        </w:tc>
      </w:tr>
      <w:tr>
        <w:trPr/>
        <w:tc>
          <w:tcPr>
            <w:tcW w:w="25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2,500,000</w:t>
            </w:r>
          </w:p>
        </w:tc>
        <w:tc>
          <w:tcPr>
            <w:tcW w:w="346" w:type="dxa"/>
            <w:tcBorders/>
            <w:shd w:fill="CCEEFF" w:val="clear"/>
            <w:vAlign w:val="center"/>
          </w:tcPr>
          <w:p>
            <w:pPr>
              <w:pStyle w:val="TableContents"/>
              <w:bidi w:val="0"/>
              <w:spacing w:before="0" w:after="0"/>
              <w:ind w:left="0" w:right="0" w:hanging="0"/>
              <w:jc w:val="center"/>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w:t>
            </w:r>
          </w:p>
        </w:tc>
        <w:tc>
          <w:tcPr>
            <w:tcW w:w="346" w:type="dxa"/>
            <w:tcBorders/>
            <w:shd w:fill="CCEEFF" w:val="clear"/>
            <w:vAlign w:val="center"/>
          </w:tcPr>
          <w:p>
            <w:pPr>
              <w:pStyle w:val="TableContents"/>
              <w:bidi w:val="0"/>
              <w:spacing w:before="0" w:after="0"/>
              <w:ind w:left="0" w:right="0" w:hanging="0"/>
              <w:jc w:val="center"/>
              <w:rPr/>
            </w:pPr>
            <w:r>
              <w:rPr/>
              <w:t>​</w:t>
            </w:r>
          </w:p>
        </w:tc>
        <w:tc>
          <w:tcPr>
            <w:tcW w:w="16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24, 2031</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20,921,916</w:t>
            </w:r>
          </w:p>
        </w:tc>
        <w:tc>
          <w:tcPr>
            <w:tcW w:w="3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4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24, 2031</w:t>
            </w:r>
          </w:p>
        </w:tc>
      </w:tr>
      <w:tr>
        <w:trPr/>
        <w:tc>
          <w:tcPr>
            <w:tcW w:w="25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23,421,916</w:t>
            </w:r>
          </w:p>
        </w:tc>
        <w:tc>
          <w:tcPr>
            <w:tcW w:w="346" w:type="dxa"/>
            <w:tcBorders/>
            <w:shd w:fill="CCEEFF" w:val="clear"/>
            <w:vAlign w:val="center"/>
          </w:tcPr>
          <w:p>
            <w:pPr>
              <w:pStyle w:val="TableContents"/>
              <w:bidi w:val="0"/>
              <w:spacing w:before="0" w:after="0"/>
              <w:ind w:left="0" w:right="0" w:hanging="0"/>
              <w:jc w:val="left"/>
              <w:rPr/>
            </w:pPr>
            <w:r>
              <w:rPr/>
              <w:t> </w:t>
            </w:r>
          </w:p>
        </w:tc>
        <w:tc>
          <w:tcPr>
            <w:tcW w:w="299"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636" w:type="dxa"/>
            <w:tcBorders/>
            <w:shd w:fill="CCEEFF" w:val="clear"/>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May 31, 2026, the Company classified 20,921,916 warrants as equity and 2,500,000 warrants as liabilities.</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Activities during the six months period ended May 31, 2026:</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24, 2026, in connection with its reverse recapitalization (Note 4), the Company issued the following warrants: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11,500,000</w:t>
            </w:r>
            <w:r>
              <w:rPr>
                <w:caps w:val="false"/>
                <w:smallCaps w:val="false"/>
              </w:rPr>
              <w:t xml:space="preserve"> </w:t>
            </w:r>
            <w:r>
              <w:rPr>
                <w:rFonts w:ascii="Times New Roman;Times;serif" w:hAnsi="Times New Roman;Times;serif"/>
                <w:b w:val="false"/>
                <w:i w:val="false"/>
                <w:caps w:val="false"/>
                <w:smallCaps w:val="false"/>
                <w:sz w:val="20"/>
              </w:rPr>
              <w:t>public warrants to former public shareholders of SVII as replacements for the former SVII public warrants. Each whole warrant entitles the holder to purchase one</w:t>
            </w:r>
            <w:r>
              <w:rPr>
                <w:caps w:val="false"/>
                <w:smallCaps w:val="false"/>
              </w:rPr>
              <w:t xml:space="preserve"> </w:t>
            </w:r>
            <w:r>
              <w:rPr>
                <w:rFonts w:ascii="Times New Roman;Times;serif" w:hAnsi="Times New Roman;Times;serif"/>
                <w:b w:val="false"/>
                <w:i w:val="false"/>
                <w:caps w:val="false"/>
                <w:smallCaps w:val="false"/>
                <w:sz w:val="20"/>
              </w:rPr>
              <w:t>common stock at an exercise price of $11.50;</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7,000,000</w:t>
            </w:r>
            <w:r>
              <w:rPr>
                <w:caps w:val="false"/>
                <w:smallCaps w:val="false"/>
              </w:rPr>
              <w:t xml:space="preserve"> </w:t>
            </w:r>
            <w:r>
              <w:rPr>
                <w:rFonts w:ascii="Times New Roman;Times;serif" w:hAnsi="Times New Roman;Times;serif"/>
                <w:b w:val="false"/>
                <w:i w:val="false"/>
                <w:caps w:val="false"/>
                <w:smallCaps w:val="false"/>
                <w:sz w:val="20"/>
              </w:rPr>
              <w:t>warrants to the SVII Sponsor for replacement of the former SVII private warrants. Each whole warrant entitles the holder to purchase one</w:t>
            </w:r>
            <w:r>
              <w:rPr>
                <w:caps w:val="false"/>
                <w:smallCaps w:val="false"/>
              </w:rPr>
              <w:t xml:space="preserve"> </w:t>
            </w:r>
            <w:r>
              <w:rPr>
                <w:rFonts w:ascii="Times New Roman;Times;serif" w:hAnsi="Times New Roman;Times;serif"/>
                <w:b w:val="false"/>
                <w:i w:val="false"/>
                <w:caps w:val="false"/>
                <w:smallCaps w:val="false"/>
                <w:sz w:val="20"/>
              </w:rPr>
              <w:t>common stock at an exercise price of $11.50;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2,422,133</w:t>
            </w:r>
            <w:r>
              <w:rPr>
                <w:caps w:val="false"/>
                <w:smallCaps w:val="false"/>
              </w:rPr>
              <w:t xml:space="preserve"> </w:t>
            </w:r>
            <w:r>
              <w:rPr>
                <w:rFonts w:ascii="Times New Roman;Times;serif" w:hAnsi="Times New Roman;Times;serif"/>
                <w:b w:val="false"/>
                <w:i w:val="false"/>
                <w:caps w:val="false"/>
                <w:smallCaps w:val="false"/>
                <w:sz w:val="20"/>
              </w:rPr>
              <w:t>warrants to the SVII Sponsor in exchange for settlement of $2,422,133</w:t>
            </w:r>
            <w:r>
              <w:rPr>
                <w:caps w:val="false"/>
                <w:smallCaps w:val="false"/>
              </w:rPr>
              <w:t xml:space="preserve"> </w:t>
            </w:r>
            <w:r>
              <w:rPr>
                <w:rFonts w:ascii="Times New Roman;Times;serif" w:hAnsi="Times New Roman;Times;serif"/>
                <w:b w:val="false"/>
                <w:i w:val="false"/>
                <w:caps w:val="false"/>
                <w:smallCaps w:val="false"/>
                <w:sz w:val="20"/>
              </w:rPr>
              <w:t>of loans owed by SVII to the SVII Sponsor, at $1.00</w:t>
            </w:r>
            <w:r>
              <w:rPr>
                <w:caps w:val="false"/>
                <w:smallCaps w:val="false"/>
              </w:rPr>
              <w:t xml:space="preserve"> </w:t>
            </w:r>
            <w:r>
              <w:rPr>
                <w:rFonts w:ascii="Times New Roman;Times;serif" w:hAnsi="Times New Roman;Times;serif"/>
                <w:b w:val="false"/>
                <w:i w:val="false"/>
                <w:caps w:val="false"/>
                <w:smallCaps w:val="false"/>
                <w:sz w:val="20"/>
              </w:rPr>
              <w:t>per share. Each whole warrant entitles the holder to purchase one</w:t>
            </w:r>
            <w:r>
              <w:rPr>
                <w:caps w:val="false"/>
                <w:smallCaps w:val="false"/>
              </w:rPr>
              <w:t xml:space="preserve"> </w:t>
            </w:r>
            <w:r>
              <w:rPr>
                <w:rFonts w:ascii="Times New Roman;Times;serif" w:hAnsi="Times New Roman;Times;serif"/>
                <w:b w:val="false"/>
                <w:i w:val="false"/>
                <w:caps w:val="false"/>
                <w:smallCaps w:val="false"/>
                <w:sz w:val="20"/>
              </w:rPr>
              <w:t>common stock at an exercise price of $11.50.</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issuance of 2,422,133 warrants in settlement of loans owed by SVII to the SVII Sponsor has been accounted for as a capital transaction with a shareholder of the Company, in connection with the reverse recapitalization.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24, 2026, in connection with the PIPE financing, the Company issued warrants to an accredited investor to purchase an aggregate of 2,500,000 shares of New Eagle common stock at an exercise price of $12.00 per share. These warrants are classified as liabilities, and had a fair value of $4,174,276 at issuance (Note 11).</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April 27, 2026 and May 1, 2026, public warrants holders exercised an aggregate of 200 warrants for common shares of the Company.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cancelled 17 public warrants as a result of fractional breakage from conversion from former SVII units upon the reverse recapitalization.</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Diluted loss per share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has the following anti-dilutive securities as of May 31, 2026 and 2025:</w:t>
      </w:r>
    </w:p>
    <w:tbl>
      <w:tblPr>
        <w:tblW w:w="7040" w:type="dxa"/>
        <w:jc w:val="left"/>
        <w:tblInd w:w="0" w:type="dxa"/>
        <w:tblLayout w:type="fixed"/>
        <w:tblCellMar>
          <w:top w:w="0" w:type="dxa"/>
          <w:left w:w="0" w:type="dxa"/>
          <w:bottom w:w="0" w:type="dxa"/>
          <w:right w:w="0" w:type="dxa"/>
        </w:tblCellMar>
      </w:tblPr>
      <w:tblGrid>
        <w:gridCol w:w="4081"/>
        <w:gridCol w:w="346"/>
        <w:gridCol w:w="1111"/>
        <w:gridCol w:w="346"/>
        <w:gridCol w:w="1156"/>
      </w:tblGrid>
      <w:tr>
        <w:trPr/>
        <w:tc>
          <w:tcPr>
            <w:tcW w:w="4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591435" cy="175260"/>
                      <wp:effectExtent l="0" t="0" r="0" b="0"/>
                      <wp:wrapNone/>
                      <wp:docPr id="212" name="Frame212"/>
                      <a:graphic xmlns:a="http://schemas.openxmlformats.org/drawingml/2006/main">
                        <a:graphicData uri="http://schemas.microsoft.com/office/word/2010/wordprocessingShape">
                          <wps:wsp>
                            <wps:cNvSpPr txBox="1"/>
                            <wps:spPr>
                              <a:xfrm>
                                <a:off x="0" y="0"/>
                                <a:ext cx="2591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705485" cy="175260"/>
                      <wp:effectExtent l="0" t="0" r="0" b="0"/>
                      <wp:wrapNone/>
                      <wp:docPr id="214" name="Frame214"/>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734060" cy="175260"/>
                      <wp:effectExtent l="0" t="0" r="0" b="0"/>
                      <wp:wrapNone/>
                      <wp:docPr id="216" name="Frame21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46" w:type="dxa"/>
            <w:tcBorders/>
            <w:vAlign w:val="center"/>
          </w:tcPr>
          <w:p>
            <w:pPr>
              <w:pStyle w:val="TableContents"/>
              <w:bidi w:val="0"/>
              <w:spacing w:before="0" w:after="1"/>
              <w:ind w:left="0" w:right="0" w:hanging="0"/>
              <w:jc w:val="center"/>
              <w:rPr/>
            </w:pPr>
            <w:r>
              <w:rPr/>
              <w:t>  ​ ​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May 31, 2025</w:t>
            </w:r>
          </w:p>
        </w:tc>
      </w:tr>
      <w:tr>
        <w:trPr/>
        <w:tc>
          <w:tcPr>
            <w:tcW w:w="4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w:t>
            </w:r>
          </w:p>
        </w:tc>
        <w:tc>
          <w:tcPr>
            <w:tcW w:w="3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23,421,916</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pPr>
            <w:r>
              <w:rPr/>
              <w:t>—</w:t>
            </w:r>
          </w:p>
        </w:tc>
      </w:tr>
      <w:tr>
        <w:trPr/>
        <w:tc>
          <w:tcPr>
            <w:tcW w:w="4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887,375</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w:t>
            </w:r>
          </w:p>
        </w:tc>
      </w:tr>
      <w:tr>
        <w:trPr/>
        <w:tc>
          <w:tcPr>
            <w:tcW w:w="4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RSUs</w:t>
            </w:r>
          </w:p>
        </w:tc>
        <w:tc>
          <w:tcPr>
            <w:tcW w:w="34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592,125</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pPr>
            <w:r>
              <w:rPr/>
              <w:t>—</w:t>
            </w:r>
          </w:p>
        </w:tc>
      </w:tr>
      <w:tr>
        <w:trPr/>
        <w:tc>
          <w:tcPr>
            <w:tcW w:w="4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Earnout shares</w:t>
            </w:r>
          </w:p>
        </w:tc>
        <w:tc>
          <w:tcPr>
            <w:tcW w:w="34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1,500,000</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w:t>
            </w:r>
          </w:p>
        </w:tc>
      </w:tr>
      <w:tr>
        <w:trPr/>
        <w:tc>
          <w:tcPr>
            <w:tcW w:w="4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A Cumulative Convertible Preferred Stock</w:t>
            </w:r>
          </w:p>
        </w:tc>
        <w:tc>
          <w:tcPr>
            <w:tcW w:w="346" w:type="dxa"/>
            <w:tcBorders/>
            <w:shd w:fill="CCEEFF" w:val="clear"/>
            <w:vAlign w:val="center"/>
          </w:tcPr>
          <w:p>
            <w:pPr>
              <w:pStyle w:val="TableContents"/>
              <w:bidi w:val="0"/>
              <w:spacing w:before="0" w:after="1"/>
              <w:ind w:left="0" w:right="0" w:hanging="0"/>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2,500,000</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28,901,416</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60" w:hanging="0"/>
              <w:jc w:val="right"/>
              <w:rPr/>
            </w:pPr>
            <w:r>
              <w:rPr/>
              <w:t>—</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RELATED PARTY TRANSACTIONS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incurred $135,030 (for the six months ended May 31, 2025 - $90,000) in fees to the CEO of the Company, and $25,000 of bonus to the CEO (for the six months ended May 31, 2025 - $Nil) payable upon completion of the de-SPAC transaction (Note 4). As of May 31, 2026, $60,030 of CEO fees (November 30, 2025 - $15,000), and $12,886 in expense reimbursements (November 30, 2025 - $Nil) were included in due to related parties.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bookmarkStart w:id="1268" w:name="Narr_zOq8Wttw3Ui0Kic0mDxypg"/>
      <w:bookmarkEnd w:id="1268"/>
      <w:r>
        <w:rPr>
          <w:rFonts w:ascii="Times New Roman;Times;serif" w:hAnsi="Times New Roman;Times;serif"/>
          <w:sz w:val="20"/>
        </w:rPr>
        <w:t>During the six months ended May 31, 2026, the Company incurred $78,009 (for the six months ended May 31, 2025 - $Nil) in fees to the Chief Financial Officer (the “CFO”) of the Company. As of May 31, 2026, $24,259 of CFO fees (November 30, 2025 - $10,750) and $1,947 in expense reimbursements (November 30, 2025 - $Nil) were included in due to related parties.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incurred $Nil (for the six months ended May 31, 2025 - $90,000) in fees with a company controlled by the former Chief Financial Officer (the “former CFO”) of the Company. As of May 31, 2026, $Nil of former CFO fees (November 30, 2025 - $15,000) and $Nil in expense reimbursements (November 30, 2025 - $Nil) were included in due to related parties.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incurred $72,500 (for the six months ended May 31, 2025 - $90,000) of consulting fees with a company controlled by a director of the Company. As of May 31, 2026, $15,000 (November 30, 2025 - $22,500) of consulting fees and $6,008 (November 30, 2025 - $7,971) in expense reimbursements were included in due to related parties.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incurred $135,000 (for the six months ended May 31, 2025 - $231,250) of consulting fees with a company (for the six months ended May 31, 2025 - two companies) controlled by a stockholder of the Company. As of May 31, 2026, $Nil (November 30, 2025 - $67,875) of consulting fees and $Nil (November 30, 2025 - $128,064) in expense reimbursements were included in due to related parties.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Additionally, there was one stockholder who held over 5% of the Company’s common stock during the six months ended May 31, 2025 that provided consulting services to the Company. The stockholder no longer holds over 5% of the Company’s common stock during the six months ended May 31, 2026. During the six months ended May 31, 2026, the Company incurred $Nil (for the six months ended May 31, 2025 - $90,250) of consulting fees with this stockholder. As of May 31, 2026, $Nil (November 30, 2025 - $12,865) was included in due to related parties for amounts relating to expense reimbursements due to a stockholder.</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granted the following stock options and RSUs to related parties: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750,000</w:t>
            </w:r>
            <w:r>
              <w:rPr>
                <w:caps w:val="false"/>
                <w:smallCaps w:val="false"/>
              </w:rPr>
              <w:t xml:space="preserve"> </w:t>
            </w:r>
            <w:r>
              <w:rPr>
                <w:rFonts w:ascii="Times New Roman;Times;serif" w:hAnsi="Times New Roman;Times;serif"/>
                <w:b w:val="false"/>
                <w:i w:val="false"/>
                <w:caps w:val="false"/>
                <w:smallCaps w:val="false"/>
                <w:sz w:val="20"/>
              </w:rPr>
              <w:t>stock options with grant date fair value of $4,917,072</w:t>
            </w:r>
            <w:r>
              <w:rPr>
                <w:caps w:val="false"/>
                <w:smallCaps w:val="false"/>
              </w:rPr>
              <w:t xml:space="preserve"> </w:t>
            </w:r>
            <w:r>
              <w:rPr>
                <w:rFonts w:ascii="Times New Roman;Times;serif" w:hAnsi="Times New Roman;Times;serif"/>
                <w:b w:val="false"/>
                <w:i w:val="false"/>
                <w:caps w:val="false"/>
                <w:smallCaps w:val="false"/>
                <w:sz w:val="20"/>
              </w:rPr>
              <w:t>and 250,000</w:t>
            </w:r>
            <w:r>
              <w:rPr>
                <w:caps w:val="false"/>
                <w:smallCaps w:val="false"/>
              </w:rPr>
              <w:t xml:space="preserve"> </w:t>
            </w:r>
            <w:r>
              <w:rPr>
                <w:rFonts w:ascii="Times New Roman;Times;serif" w:hAnsi="Times New Roman;Times;serif"/>
                <w:b w:val="false"/>
                <w:i w:val="false"/>
                <w:caps w:val="false"/>
                <w:smallCaps w:val="false"/>
                <w:sz w:val="20"/>
              </w:rPr>
              <w:t>RSUs with grant date fair value of $2,380,000</w:t>
            </w:r>
            <w:r>
              <w:rPr>
                <w:caps w:val="false"/>
                <w:smallCaps w:val="false"/>
              </w:rPr>
              <w:t xml:space="preserve"> </w:t>
            </w:r>
            <w:r>
              <w:rPr>
                <w:rFonts w:ascii="Times New Roman;Times;serif" w:hAnsi="Times New Roman;Times;serif"/>
                <w:b w:val="false"/>
                <w:i w:val="false"/>
                <w:caps w:val="false"/>
                <w:smallCaps w:val="false"/>
                <w:sz w:val="20"/>
              </w:rPr>
              <w:t>to the CEO;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14,000</w:t>
            </w:r>
            <w:r>
              <w:rPr>
                <w:caps w:val="false"/>
                <w:smallCaps w:val="false"/>
              </w:rPr>
              <w:t xml:space="preserve"> </w:t>
            </w:r>
            <w:r>
              <w:rPr>
                <w:rFonts w:ascii="Times New Roman;Times;serif" w:hAnsi="Times New Roman;Times;serif"/>
                <w:b w:val="false"/>
                <w:i w:val="false"/>
                <w:caps w:val="false"/>
                <w:smallCaps w:val="false"/>
                <w:sz w:val="20"/>
              </w:rPr>
              <w:t>stock options with grant date fair value of $89,084</w:t>
            </w:r>
            <w:r>
              <w:rPr>
                <w:caps w:val="false"/>
                <w:smallCaps w:val="false"/>
              </w:rPr>
              <w:t xml:space="preserve"> </w:t>
            </w:r>
            <w:r>
              <w:rPr>
                <w:rFonts w:ascii="Times New Roman;Times;serif" w:hAnsi="Times New Roman;Times;serif"/>
                <w:b w:val="false"/>
                <w:i w:val="false"/>
                <w:caps w:val="false"/>
                <w:smallCaps w:val="false"/>
                <w:sz w:val="20"/>
              </w:rPr>
              <w:t>and 42,000</w:t>
            </w:r>
            <w:r>
              <w:rPr>
                <w:caps w:val="false"/>
                <w:smallCaps w:val="false"/>
              </w:rPr>
              <w:t xml:space="preserve"> </w:t>
            </w:r>
            <w:r>
              <w:rPr>
                <w:rFonts w:ascii="Times New Roman;Times;serif" w:hAnsi="Times New Roman;Times;serif"/>
                <w:b w:val="false"/>
                <w:i w:val="false"/>
                <w:caps w:val="false"/>
                <w:smallCaps w:val="false"/>
                <w:sz w:val="20"/>
              </w:rPr>
              <w:t>RSUs with grant date fair value of $384,300</w:t>
            </w:r>
            <w:r>
              <w:rPr>
                <w:caps w:val="false"/>
                <w:smallCaps w:val="false"/>
              </w:rPr>
              <w:t xml:space="preserve"> </w:t>
            </w:r>
            <w:r>
              <w:rPr>
                <w:rFonts w:ascii="Times New Roman;Times;serif" w:hAnsi="Times New Roman;Times;serif"/>
                <w:b w:val="false"/>
                <w:i w:val="false"/>
                <w:caps w:val="false"/>
                <w:smallCaps w:val="false"/>
                <w:sz w:val="20"/>
              </w:rPr>
              <w:t>to the CFO;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40,625</w:t>
            </w:r>
            <w:r>
              <w:rPr>
                <w:caps w:val="false"/>
                <w:smallCaps w:val="false"/>
              </w:rPr>
              <w:t xml:space="preserve"> </w:t>
            </w:r>
            <w:r>
              <w:rPr>
                <w:rFonts w:ascii="Times New Roman;Times;serif" w:hAnsi="Times New Roman;Times;serif"/>
                <w:b w:val="false"/>
                <w:i w:val="false"/>
                <w:caps w:val="false"/>
                <w:smallCaps w:val="false"/>
                <w:sz w:val="20"/>
              </w:rPr>
              <w:t>stock options with grant date fair value of $250,536</w:t>
            </w:r>
            <w:r>
              <w:rPr>
                <w:caps w:val="false"/>
                <w:smallCaps w:val="false"/>
              </w:rPr>
              <w:t xml:space="preserve"> </w:t>
            </w:r>
            <w:r>
              <w:rPr>
                <w:rFonts w:ascii="Times New Roman;Times;serif" w:hAnsi="Times New Roman;Times;serif"/>
                <w:b w:val="false"/>
                <w:i w:val="false"/>
                <w:caps w:val="false"/>
                <w:smallCaps w:val="false"/>
                <w:sz w:val="20"/>
              </w:rPr>
              <w:t>and 121,875</w:t>
            </w:r>
            <w:r>
              <w:rPr>
                <w:caps w:val="false"/>
                <w:smallCaps w:val="false"/>
              </w:rPr>
              <w:t xml:space="preserve"> </w:t>
            </w:r>
            <w:r>
              <w:rPr>
                <w:rFonts w:ascii="Times New Roman;Times;serif" w:hAnsi="Times New Roman;Times;serif"/>
                <w:b w:val="false"/>
                <w:i w:val="false"/>
                <w:caps w:val="false"/>
                <w:smallCaps w:val="false"/>
                <w:sz w:val="20"/>
              </w:rPr>
              <w:t>RSUs with grant date fair value of $1,115,156</w:t>
            </w:r>
            <w:r>
              <w:rPr>
                <w:caps w:val="false"/>
                <w:smallCaps w:val="false"/>
              </w:rPr>
              <w:t xml:space="preserve"> </w:t>
            </w:r>
            <w:r>
              <w:rPr>
                <w:rFonts w:ascii="Times New Roman;Times;serif" w:hAnsi="Times New Roman;Times;serif"/>
                <w:b w:val="false"/>
                <w:i w:val="false"/>
                <w:caps w:val="false"/>
                <w:smallCaps w:val="false"/>
                <w:sz w:val="20"/>
              </w:rPr>
              <w:t>to four directors.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incurred $3,069,747 (for the six months ended May 31, 2025 - $Nil) of stock based compensation to the CEO and CFO, recognized in salaries and wages; and $731,157 (for the six months ended May 31, 2025 - $Nil) of stock based compensation to the Company’s directors, recognized in professional fees (Note 14).</w:t>
      </w:r>
    </w:p>
    <w:p>
      <w:pPr>
        <w:pStyle w:val="TextBody"/>
        <w:bidi w:val="0"/>
        <w:spacing w:before="0" w:after="240"/>
        <w:ind w:left="360" w:right="0" w:hanging="0"/>
        <w:jc w:val="left"/>
        <w:rPr>
          <w:rFonts w:ascii="Times New Roman;Times;serif" w:hAnsi="Times New Roman;Times;serif"/>
          <w:b/>
          <w:sz w:val="20"/>
        </w:rPr>
      </w:pPr>
      <w:bookmarkStart w:id="1269" w:name="Tc_0PxlPAO00EOGGbsM-5p7og_8_11"/>
      <w:bookmarkStart w:id="1270" w:name="Tc_xdrJEAmQYUeqoc1A1SlMZQ_8_8"/>
      <w:bookmarkStart w:id="1271" w:name="Tc_lDWUOK-giE6QO0W6lPBglQ_8_5"/>
      <w:bookmarkStart w:id="1272" w:name="Tc_ln3R5cMIIUKXdTBcUkK6zQ_8_2"/>
      <w:bookmarkStart w:id="1273" w:name="Tc_fmj5dGIoB0CXKmx6wGIAPg_7_12"/>
      <w:bookmarkStart w:id="1274" w:name="Tc_LhrCF-SB5UqB7565VPebFA_7_6"/>
      <w:bookmarkStart w:id="1275" w:name="Tc_KBHviOkfTkKia5i3_-CNEQ_7_0"/>
      <w:bookmarkStart w:id="1276" w:name="Tc_uOjAEPlhQ0SYDdQ8Sm354Q_6_0"/>
      <w:bookmarkStart w:id="1277" w:name="Tc_djJVnUHS80WxIsAA107gnA_5_3"/>
      <w:bookmarkStart w:id="1278" w:name="Tc_atNc_H94JEGcCcW4C-SWDQ_5_0"/>
      <w:bookmarkStart w:id="1279" w:name="Tc_BWtXQkBhR06Ielhzj3JJxw_4_11"/>
      <w:bookmarkStart w:id="1280" w:name="Tc_a9n2LoY0FUKPhfokJRt-_g_4_8"/>
      <w:bookmarkStart w:id="1281" w:name="Tc_spQD1trEekKly4LbeHwBzg_4_5"/>
      <w:bookmarkStart w:id="1282" w:name="Tc_ywFlEHuTr0SScGguFAdlLw_4_2"/>
      <w:bookmarkStart w:id="1283" w:name="Tc_Ly9T6u-g_km04jrXwN0wuQ_4_0"/>
      <w:bookmarkStart w:id="1284" w:name="Tc_yfjmvJIFD02i4KLuTLAAcQ_3_11"/>
      <w:bookmarkStart w:id="1285" w:name="Tc_hsHDhoPp2Uyf0b_J65ZSgQ_3_8"/>
      <w:bookmarkStart w:id="1286" w:name="Tc_Ql8Fibdb3ECRURtbJlVM-w_3_5"/>
      <w:bookmarkStart w:id="1287" w:name="Tc_DeIbdroXmU6077ZW-N182A_3_2"/>
      <w:bookmarkStart w:id="1288" w:name="Tc_Nsl70J2x0EqbeFGgE5ATxA_2_11"/>
      <w:bookmarkStart w:id="1289" w:name="Tc_TgX_eMud3kmAOhmzQryN8Q_2_8"/>
      <w:bookmarkStart w:id="1290" w:name="Tc_CbXMkR2TQkWTdZ0RxZ7vjA_2_5"/>
      <w:bookmarkStart w:id="1291" w:name="Tc_Egiscux5x0qTXIjKZNChGQ_2_2"/>
      <w:bookmarkStart w:id="1292" w:name="Tc_Gk9dV2DFh0SW2Gmbv-yOUQ_1_11"/>
      <w:bookmarkStart w:id="1293" w:name="Tc_D3fdMOkHzE6kg17pW42Oqg_1_8"/>
      <w:bookmarkStart w:id="1294" w:name="Tc_i-9MZSe4u0-NWYsapOALeA_1_5"/>
      <w:bookmarkStart w:id="1295" w:name="Tc_mFcBAMDH5EeCWbcqljR8aQ_1_2"/>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r>
        <w:rPr>
          <w:rFonts w:ascii="Times New Roman;Times;serif" w:hAnsi="Times New Roman;Times;serif"/>
          <w:b/>
          <w:i w:val="false"/>
          <w:caps w:val="false"/>
          <w:smallCaps w:val="false"/>
          <w:sz w:val="20"/>
        </w:rPr>
        <w:t>14.</w:t>
      </w:r>
      <w:r>
        <w:rPr>
          <w:rFonts w:ascii="Times New Roman;Times;serif" w:hAnsi="Times New Roman;Times;serif"/>
          <w:b/>
          <w:sz w:val="20"/>
        </w:rPr>
        <w:t>PROFESSIONAL FEES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Details of professional fees are presented below:</w:t>
      </w:r>
    </w:p>
    <w:p>
      <w:pPr>
        <w:pStyle w:val="TextBody"/>
        <w:bidi w:val="0"/>
        <w:spacing w:before="0" w:after="0"/>
        <w:ind w:left="0" w:right="0" w:hanging="0"/>
        <w:jc w:val="left"/>
        <w:rPr/>
      </w:pPr>
      <w:r>
        <w:rPr/>
        <w:t>​</w:t>
      </w:r>
    </w:p>
    <w:tbl>
      <w:tblPr>
        <w:tblW w:w="8501" w:type="dxa"/>
        <w:jc w:val="left"/>
        <w:tblInd w:w="0" w:type="dxa"/>
        <w:tblLayout w:type="fixed"/>
        <w:tblCellMar>
          <w:top w:w="0" w:type="dxa"/>
          <w:left w:w="0" w:type="dxa"/>
          <w:bottom w:w="0" w:type="dxa"/>
          <w:right w:w="0" w:type="dxa"/>
        </w:tblCellMar>
      </w:tblPr>
      <w:tblGrid>
        <w:gridCol w:w="2476"/>
        <w:gridCol w:w="346"/>
        <w:gridCol w:w="211"/>
        <w:gridCol w:w="931"/>
        <w:gridCol w:w="346"/>
        <w:gridCol w:w="235"/>
        <w:gridCol w:w="875"/>
        <w:gridCol w:w="346"/>
        <w:gridCol w:w="211"/>
        <w:gridCol w:w="931"/>
        <w:gridCol w:w="346"/>
        <w:gridCol w:w="211"/>
        <w:gridCol w:w="103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572260" cy="175260"/>
                      <wp:effectExtent l="0" t="0" r="0" b="0"/>
                      <wp:wrapNone/>
                      <wp:docPr id="217" name="Frame217"/>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91185" cy="175260"/>
                      <wp:effectExtent l="0" t="0" r="0" b="0"/>
                      <wp:wrapNone/>
                      <wp:docPr id="220" name="Frame22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49225" cy="175260"/>
                      <wp:effectExtent l="0" t="0" r="0" b="0"/>
                      <wp:wrapNone/>
                      <wp:docPr id="222" name="Frame222"/>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55625" cy="175260"/>
                      <wp:effectExtent l="0" t="0" r="0" b="0"/>
                      <wp:wrapNone/>
                      <wp:docPr id="223" name="Frame223"/>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91185" cy="175260"/>
                      <wp:effectExtent l="0" t="0" r="0" b="0"/>
                      <wp:wrapNone/>
                      <wp:docPr id="226" name="Frame22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57860" cy="175260"/>
                      <wp:effectExtent l="0" t="0" r="0" b="0"/>
                      <wp:wrapNone/>
                      <wp:docPr id="229" name="Frame22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w:t>
            </w:r>
          </w:p>
        </w:tc>
        <w:tc>
          <w:tcPr>
            <w:tcW w:w="346" w:type="dxa"/>
            <w:tcBorders/>
            <w:vAlign w:val="center"/>
          </w:tcPr>
          <w:p>
            <w:pPr>
              <w:pStyle w:val="TableContents"/>
              <w:bidi w:val="0"/>
              <w:spacing w:before="0" w:after="0"/>
              <w:ind w:left="0" w:right="0" w:hanging="0"/>
              <w:jc w:val="left"/>
              <w:rPr/>
            </w:pPr>
            <w:r>
              <w:rPr/>
              <w:t>  ​ ​ ​</w:t>
            </w:r>
          </w:p>
        </w:tc>
        <w:tc>
          <w:tcPr>
            <w:tcW w:w="11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w:t>
            </w:r>
          </w:p>
        </w:tc>
      </w:tr>
      <w:tr>
        <w:trPr/>
        <w:tc>
          <w:tcPr>
            <w:tcW w:w="2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46" w:type="dxa"/>
            <w:tcBorders/>
            <w:vAlign w:val="center"/>
          </w:tcPr>
          <w:p>
            <w:pPr>
              <w:pStyle w:val="TableContents"/>
              <w:bidi w:val="0"/>
              <w:spacing w:before="0" w:after="0"/>
              <w:ind w:left="0" w:right="0" w:hanging="0"/>
              <w:jc w:val="left"/>
              <w:rPr/>
            </w:pPr>
            <w:r>
              <w:rPr/>
              <w:t>​</w:t>
            </w:r>
          </w:p>
        </w:tc>
        <w:tc>
          <w:tcPr>
            <w:tcW w:w="11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ended</w:t>
            </w:r>
          </w:p>
        </w:tc>
      </w:tr>
      <w:tr>
        <w:trPr/>
        <w:tc>
          <w:tcPr>
            <w:tcW w:w="2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46" w:type="dxa"/>
            <w:tcBorders/>
            <w:vAlign w:val="center"/>
          </w:tcPr>
          <w:p>
            <w:pPr>
              <w:pStyle w:val="TableContents"/>
              <w:bidi w:val="0"/>
              <w:spacing w:before="0" w:after="0"/>
              <w:ind w:left="0" w:right="0" w:hanging="0"/>
              <w:jc w:val="left"/>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31, 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31, 2025</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Consulting</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596,803</w:t>
            </w:r>
          </w:p>
        </w:tc>
        <w:tc>
          <w:tcPr>
            <w:tcW w:w="346" w:type="dxa"/>
            <w:tcBorders/>
            <w:shd w:fill="CCEEFF" w:val="clear"/>
            <w:vAlign w:val="center"/>
          </w:tcPr>
          <w:p>
            <w:pPr>
              <w:pStyle w:val="TableContents"/>
              <w:bidi w:val="0"/>
              <w:spacing w:before="0" w:after="0"/>
              <w:ind w:left="0" w:right="0" w:hanging="0"/>
              <w:jc w:val="righ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377,116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899,203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690,192</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5" w:type="dxa"/>
            <w:tcBorders/>
            <w:vAlign w:val="center"/>
          </w:tcPr>
          <w:p>
            <w:pPr>
              <w:pStyle w:val="TableContents"/>
              <w:bidi w:val="0"/>
              <w:spacing w:before="0" w:after="0"/>
              <w:ind w:left="0" w:right="0" w:hanging="0"/>
              <w:jc w:val="righ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102,250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180,000</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accounting and others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682,881</w:t>
            </w:r>
          </w:p>
        </w:tc>
        <w:tc>
          <w:tcPr>
            <w:tcW w:w="346" w:type="dxa"/>
            <w:tcBorders/>
            <w:shd w:fill="CCEEFF" w:val="clear"/>
            <w:vAlign w:val="center"/>
          </w:tcPr>
          <w:p>
            <w:pPr>
              <w:pStyle w:val="TableContents"/>
              <w:bidi w:val="0"/>
              <w:spacing w:before="0" w:after="0"/>
              <w:ind w:left="0" w:right="0" w:hanging="0"/>
              <w:jc w:val="right"/>
              <w:rPr/>
            </w:pPr>
            <w:r>
              <w:rPr/>
              <w:t>​</w:t>
            </w:r>
          </w:p>
        </w:tc>
        <w:tc>
          <w:tcPr>
            <w:tcW w:w="235" w:type="dxa"/>
            <w:tcBorders/>
            <w:shd w:fill="CCEEFF" w:val="clear"/>
            <w:vAlign w:val="center"/>
          </w:tcPr>
          <w:p>
            <w:pPr>
              <w:pStyle w:val="TableContents"/>
              <w:bidi w:val="0"/>
              <w:spacing w:before="0" w:after="0"/>
              <w:ind w:left="0" w:right="0" w:hanging="0"/>
              <w:jc w:val="righ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243,424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737,151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343,261</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Directors’ compensation</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731,157</w:t>
            </w:r>
          </w:p>
        </w:tc>
        <w:tc>
          <w:tcPr>
            <w:tcW w:w="346" w:type="dxa"/>
            <w:tcBorders/>
            <w:vAlign w:val="center"/>
          </w:tcPr>
          <w:p>
            <w:pPr>
              <w:pStyle w:val="TableContents"/>
              <w:bidi w:val="0"/>
              <w:spacing w:before="0" w:after="0"/>
              <w:ind w:left="0" w:right="0" w:hanging="0"/>
              <w:jc w:val="righ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731,157</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4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2,010,841</w:t>
            </w:r>
          </w:p>
        </w:tc>
        <w:tc>
          <w:tcPr>
            <w:tcW w:w="346" w:type="dxa"/>
            <w:tcBorders/>
            <w:shd w:fill="CCEEFF" w:val="clear"/>
            <w:vAlign w:val="center"/>
          </w:tcPr>
          <w:p>
            <w:pPr>
              <w:pStyle w:val="TableContents"/>
              <w:bidi w:val="0"/>
              <w:spacing w:before="0" w:after="0"/>
              <w:ind w:left="0" w:right="0" w:hanging="0"/>
              <w:jc w:val="righ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710,540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2,469,761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1,213,453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left"/>
        <w:rPr>
          <w:rFonts w:ascii="Times New Roman;Times;serif" w:hAnsi="Times New Roman;Times;serif"/>
          <w:sz w:val="20"/>
        </w:rPr>
      </w:pPr>
      <w:bookmarkStart w:id="1296" w:name="Tc_jcCbhl0XikaHbTdf_w__5g_9_11"/>
      <w:bookmarkStart w:id="1297" w:name="Tc_qhFmw4WM70G7rS6kvsI1MA_9_8"/>
      <w:bookmarkStart w:id="1298" w:name="Tc_rYV9h7m6h0unz8KV9T328g_9_5"/>
      <w:bookmarkStart w:id="1299" w:name="Tc_5F9BLMOg7kmgCuxknKtWwg_9_2"/>
      <w:bookmarkStart w:id="1300" w:name="Tc_b8cPqaBPr0q7nAk5QPt8aQ_8_12"/>
      <w:bookmarkStart w:id="1301" w:name="Tc_oUVKdH4sUkCxrGcnbU6xxw_8_6"/>
      <w:bookmarkStart w:id="1302" w:name="Tc_iUsXp9rcJE2XAqIvR3jAvw_8_0"/>
      <w:bookmarkStart w:id="1303" w:name="Tc__OWLQb8GZ0Kg7cNykdiYIA_7_12"/>
      <w:bookmarkStart w:id="1304" w:name="Tc_ikqw4WWYXUGN02n2TLu0lA_7_6"/>
      <w:bookmarkStart w:id="1305" w:name="Tc_o3SdfqWtikS5Y-aCc7LUgg_7_0"/>
      <w:bookmarkStart w:id="1306" w:name="Tc_uYz3S1uel0yZJuXj7gmduw_6_12"/>
      <w:bookmarkStart w:id="1307" w:name="Tc_S8mlBTFBOUeaApaDC6_TCQ_6_6"/>
      <w:bookmarkStart w:id="1308" w:name="Tc_GHZcRSdYQ02VMoW7JE6sww_6_0"/>
      <w:bookmarkStart w:id="1309" w:name="Tc_hMUD7H9mHUCv3YCqflE1IA_5_0"/>
      <w:bookmarkStart w:id="1310" w:name="Tc_L9DSdr1zkEe_QfycN7wDLg_4_11"/>
      <w:bookmarkStart w:id="1311" w:name="Tc_ElVLG17bs0ySNHqnyXAC6w_4_8"/>
      <w:bookmarkStart w:id="1312" w:name="Tc_3_JrIHybAEWljGvzNvLtBA_4_5"/>
      <w:bookmarkStart w:id="1313" w:name="Tc_bWaGEwDlOEufF0IT1G78Vw_4_2"/>
      <w:bookmarkStart w:id="1314" w:name="Tc_hmJUhtjNwEW4dnK6SZwptg_4_0"/>
      <w:bookmarkStart w:id="1315" w:name="Tc_rcvFIIrelkS_FKIL5fWEZA_3_11"/>
      <w:bookmarkStart w:id="1316" w:name="Tc_IDtfcky1vESbbmBCA76Zew_3_8"/>
      <w:bookmarkStart w:id="1317" w:name="Tc_6GADk_Q9nUaLRqasOFbN6A_3_5"/>
      <w:bookmarkStart w:id="1318" w:name="Tc_hzqoaWyhHEqlPx3bCtawzA_3_2"/>
      <w:bookmarkStart w:id="1319" w:name="Tc_EIuKSxQRT02LNLvGE7Vveg_2_11"/>
      <w:bookmarkStart w:id="1320" w:name="Tc_efLpE1qUZUWQJBjqAtE--Q_2_8"/>
      <w:bookmarkStart w:id="1321" w:name="Tc_wmfDG-QzdUm0rI7rqlyBXA_2_5"/>
      <w:bookmarkStart w:id="1322" w:name="Tc_mWXTge4p9UKTSqTz2ZVEGQ_2_2"/>
      <w:bookmarkStart w:id="1323" w:name="Tc_FX8aW9VA_EC9UiheKr6RAA_1_11"/>
      <w:bookmarkStart w:id="1324" w:name="Tc_rQwf1JBkfUi6TZ_gyrlSgw_1_8"/>
      <w:bookmarkStart w:id="1325" w:name="Tc_S3r4VomXtUu22EADsoIx9w_1_5"/>
      <w:bookmarkStart w:id="1326" w:name="Tc_KSc6uJleIk-r8BS_40z_RA_1_2"/>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r>
        <w:rPr>
          <w:rFonts w:ascii="Times New Roman;Times;serif" w:hAnsi="Times New Roman;Times;serif"/>
          <w:b/>
          <w:i w:val="false"/>
          <w:caps w:val="false"/>
          <w:smallCaps w:val="false"/>
          <w:sz w:val="20"/>
        </w:rPr>
        <w:t>15.</w:t>
      </w:r>
      <w:r>
        <w:rPr>
          <w:rFonts w:ascii="Times New Roman;Times;serif" w:hAnsi="Times New Roman;Times;serif"/>
          <w:b/>
          <w:sz w:val="20"/>
        </w:rPr>
        <w:t>OFFICE AND ADMINISTRATIVE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Details of office and administrative are presented below:</w:t>
      </w:r>
    </w:p>
    <w:p>
      <w:pPr>
        <w:pStyle w:val="TextBody"/>
        <w:bidi w:val="0"/>
        <w:spacing w:before="0" w:after="0"/>
        <w:ind w:left="0" w:right="0" w:hanging="0"/>
        <w:jc w:val="left"/>
        <w:rPr/>
      </w:pPr>
      <w:r>
        <w:rPr/>
        <w:t>​</w:t>
      </w:r>
    </w:p>
    <w:tbl>
      <w:tblPr>
        <w:tblW w:w="8020" w:type="dxa"/>
        <w:jc w:val="left"/>
        <w:tblInd w:w="0" w:type="dxa"/>
        <w:tblLayout w:type="fixed"/>
        <w:tblCellMar>
          <w:top w:w="0" w:type="dxa"/>
          <w:left w:w="0" w:type="dxa"/>
          <w:bottom w:w="0" w:type="dxa"/>
          <w:right w:w="0" w:type="dxa"/>
        </w:tblCellMar>
      </w:tblPr>
      <w:tblGrid>
        <w:gridCol w:w="2116"/>
        <w:gridCol w:w="346"/>
        <w:gridCol w:w="235"/>
        <w:gridCol w:w="876"/>
        <w:gridCol w:w="346"/>
        <w:gridCol w:w="263"/>
        <w:gridCol w:w="848"/>
        <w:gridCol w:w="346"/>
        <w:gridCol w:w="211"/>
        <w:gridCol w:w="931"/>
        <w:gridCol w:w="346"/>
        <w:gridCol w:w="245"/>
        <w:gridCol w:w="911"/>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43660" cy="175260"/>
                      <wp:effectExtent l="0" t="0" r="0" b="0"/>
                      <wp:wrapNone/>
                      <wp:docPr id="230" name="Frame230"/>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49225" cy="175260"/>
                      <wp:effectExtent l="0" t="0" r="0" b="0"/>
                      <wp:wrapNone/>
                      <wp:docPr id="232" name="Frame232"/>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56260" cy="175260"/>
                      <wp:effectExtent l="0" t="0" r="0" b="0"/>
                      <wp:wrapNone/>
                      <wp:docPr id="233" name="Frame233"/>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67005" cy="175260"/>
                      <wp:effectExtent l="0" t="0" r="0" b="0"/>
                      <wp:wrapNone/>
                      <wp:docPr id="235" name="Frame235"/>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38480" cy="175260"/>
                      <wp:effectExtent l="0" t="0" r="0" b="0"/>
                      <wp:wrapNone/>
                      <wp:docPr id="236" name="Frame236"/>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91185" cy="175260"/>
                      <wp:effectExtent l="0" t="0" r="0" b="0"/>
                      <wp:wrapNone/>
                      <wp:docPr id="239" name="Frame2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55575" cy="175260"/>
                      <wp:effectExtent l="0" t="0" r="0" b="0"/>
                      <wp:wrapNone/>
                      <wp:docPr id="241" name="Frame241"/>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78485" cy="175260"/>
                      <wp:effectExtent l="0" t="0" r="0" b="0"/>
                      <wp:wrapNone/>
                      <wp:docPr id="242" name="Frame242"/>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w:t>
            </w:r>
          </w:p>
        </w:tc>
        <w:tc>
          <w:tcPr>
            <w:tcW w:w="346" w:type="dxa"/>
            <w:tcBorders/>
            <w:vAlign w:val="center"/>
          </w:tcPr>
          <w:p>
            <w:pPr>
              <w:pStyle w:val="TableContents"/>
              <w:bidi w:val="0"/>
              <w:spacing w:before="0" w:after="1"/>
              <w:ind w:left="0" w:right="0" w:hanging="0"/>
              <w:jc w:val="center"/>
              <w:rPr/>
            </w:pPr>
            <w:r>
              <w:rPr/>
              <w:t>  ​ ​ ​</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w:t>
            </w:r>
          </w:p>
        </w:tc>
        <w:tc>
          <w:tcPr>
            <w:tcW w:w="346" w:type="dxa"/>
            <w:tcBorders/>
            <w:vAlign w:val="center"/>
          </w:tcPr>
          <w:p>
            <w:pPr>
              <w:pStyle w:val="TableContents"/>
              <w:bidi w:val="0"/>
              <w:spacing w:before="0" w:after="1"/>
              <w:ind w:left="0" w:right="0" w:hanging="0"/>
              <w:jc w:val="center"/>
              <w:rPr/>
            </w:pPr>
            <w:r>
              <w:rPr/>
              <w:t>  ​ ​ ​</w:t>
            </w:r>
          </w:p>
        </w:tc>
        <w:tc>
          <w:tcPr>
            <w:tcW w:w="11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w:t>
            </w:r>
          </w:p>
        </w:tc>
      </w:tr>
      <w:tr>
        <w:trPr/>
        <w:tc>
          <w:tcPr>
            <w:tcW w:w="21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46" w:type="dxa"/>
            <w:tcBorders/>
            <w:vAlign w:val="center"/>
          </w:tcPr>
          <w:p>
            <w:pPr>
              <w:pStyle w:val="TableContents"/>
              <w:bidi w:val="0"/>
              <w:spacing w:before="0" w:after="1"/>
              <w:ind w:left="0" w:right="0" w:hanging="0"/>
              <w:jc w:val="center"/>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46" w:type="dxa"/>
            <w:tcBorders/>
            <w:vAlign w:val="center"/>
          </w:tcPr>
          <w:p>
            <w:pPr>
              <w:pStyle w:val="TableContents"/>
              <w:bidi w:val="0"/>
              <w:spacing w:before="0" w:after="1"/>
              <w:ind w:left="0" w:right="0" w:hanging="0"/>
              <w:jc w:val="center"/>
              <w:rPr/>
            </w:pPr>
            <w:r>
              <w:rPr/>
              <w:t>​</w:t>
            </w:r>
          </w:p>
        </w:tc>
        <w:tc>
          <w:tcPr>
            <w:tcW w:w="11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r>
      <w:tr>
        <w:trPr/>
        <w:tc>
          <w:tcPr>
            <w:tcW w:w="21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46" w:type="dxa"/>
            <w:tcBorders/>
            <w:vAlign w:val="center"/>
          </w:tcPr>
          <w:p>
            <w:pPr>
              <w:pStyle w:val="TableContents"/>
              <w:bidi w:val="0"/>
              <w:spacing w:before="0" w:after="1"/>
              <w:ind w:left="0" w:right="0" w:hanging="0"/>
              <w:jc w:val="center"/>
              <w:rPr/>
            </w:pPr>
            <w:r>
              <w:rPr/>
              <w:t>​</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May 31, 2025</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46" w:type="dxa"/>
            <w:tcBorders/>
            <w:vAlign w:val="center"/>
          </w:tcPr>
          <w:p>
            <w:pPr>
              <w:pStyle w:val="TableContents"/>
              <w:bidi w:val="0"/>
              <w:spacing w:before="0" w:after="1"/>
              <w:ind w:left="0" w:right="0" w:hanging="0"/>
              <w:jc w:val="center"/>
              <w:rPr/>
            </w:pPr>
            <w:r>
              <w:rPr/>
              <w:t>​</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May 31, 2025</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75,043</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173,679</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89,994</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Bank charges</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w:t>
            </w:r>
          </w:p>
        </w:tc>
        <w:tc>
          <w:tcPr>
            <w:tcW w:w="34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 </w:t>
            </w:r>
          </w:p>
        </w:tc>
        <w:tc>
          <w:tcPr>
            <w:tcW w:w="8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3,424</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1,586</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 </w:t>
            </w:r>
          </w:p>
        </w:tc>
        <w:tc>
          <w:tcPr>
            <w:tcW w:w="8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224,900</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 </w:t>
            </w:r>
          </w:p>
        </w:tc>
        <w:tc>
          <w:tcPr>
            <w:tcW w:w="84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241,466</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pPr>
            <w:r>
              <w:rPr/>
              <w:t>—</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w:t>
            </w:r>
          </w:p>
        </w:tc>
        <w:tc>
          <w:tcPr>
            <w:tcW w:w="34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305,360</w:t>
            </w:r>
          </w:p>
        </w:tc>
        <w:tc>
          <w:tcPr>
            <w:tcW w:w="34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 </w:t>
            </w:r>
          </w:p>
        </w:tc>
        <w:tc>
          <w:tcPr>
            <w:tcW w:w="84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536,476</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pPr>
            <w:r>
              <w:rPr/>
              <w:t>—</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Public company costs</w:t>
            </w:r>
          </w:p>
        </w:tc>
        <w:tc>
          <w:tcPr>
            <w:tcW w:w="346"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225,282</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283,640</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1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831,489</w:t>
            </w:r>
          </w:p>
        </w:tc>
        <w:tc>
          <w:tcPr>
            <w:tcW w:w="346" w:type="dxa"/>
            <w:tcBorders/>
            <w:vAlign w:val="center"/>
          </w:tcPr>
          <w:p>
            <w:pPr>
              <w:pStyle w:val="TableContents"/>
              <w:bidi w:val="0"/>
              <w:spacing w:before="0" w:after="1"/>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60,539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1,238,685</w:t>
            </w:r>
          </w:p>
        </w:tc>
        <w:tc>
          <w:tcPr>
            <w:tcW w:w="346" w:type="dxa"/>
            <w:tcBorders/>
            <w:vAlign w:val="center"/>
          </w:tcPr>
          <w:p>
            <w:pPr>
              <w:pStyle w:val="TableContents"/>
              <w:bidi w:val="0"/>
              <w:spacing w:before="0" w:after="1"/>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91,580</w:t>
            </w:r>
          </w:p>
        </w:tc>
      </w:tr>
    </w:tbl>
    <w:p>
      <w:pPr>
        <w:pStyle w:val="TextBody"/>
        <w:bidi w:val="0"/>
        <w:spacing w:before="0" w:after="240"/>
        <w:ind w:left="36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COMMITMENTS AND CONTINGENCIES</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Commitments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January 1, 2024, the Company entered into a consulting agreement with the CEO of the Company. Pursuant to the agreement, the CEO is eligible to receive a one-time cash payment of $25,000 upon completion of an initial public offering. In connection with the completion of the de-SPAC transaction (Note 4), this condition was satisfied, and accordingly, the $25,000 payment was paid during the six months ended May 31, 2026. Following the de-SPAC transaction, the CEO is expected to enter into an executive employment agreement with the Company, which was approved by the board on June 5, 2026 (Note 19). Pursuant to the new executive employment agreement, the CEO will be entitled to receive (i) $50,000 of cash bonus payable upon the commencement of the Company’s technical work program at the AUP; and, at the board’s approval, (ii) 183,333 RSUs pursuant to the EIP; and, (iii) additional equity awards consisting of a mix of stock options and RSUs totaling 1,000,000 shares, with allocations to be determined by the Company’s board of directors. The additional equity awards totaling 1,000,000 shares, consisting of 750,000 stock options and 250,000 RSUs, were granted to the CEO on April 15, 2026 (Note 13).</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June 1, 2024, the Company began leasing office space on a month-to-month basis from an unrelated third party under an operating lease agreement. The monthly payments approximate $7,500 (CAD$10,500) and ancillary expenses. This operating lease agreement has been terminated as of March 31, 2026. During the six months ended May 31, 2026, rent expense under this agreement totaled $30,274 (for the six months ended May 31, 2025 - $48,943).</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September 29, 2025, the Company entered into the PIPE Agreement with Eagle Energy and a private investor, regarding a potential issuance by the Company, of 29,700 shares of Series A Cumulative Convertible Preferred Stock for $29,700,000 (“PIPE Issuance”), upon the completion of the de-SPAC transaction as contemplated by the BCA (Note 4). The PIPE Issuance was completed on February 24, 2026. The Series A Cumulative Convertible Preferred Stock accrues dividends at 12% annually (if paid in kind), or 10% annually (if paid in cash). At the option of the holder, the PIPE Issuance is convertible to common stock of the Company initially at a conversion price of $11.88, representing a conversion ratio of </w:t>
      </w:r>
      <w:r>
        <w:rPr>
          <w:rFonts w:ascii="Times New Roman;Times;serif" w:hAnsi="Times New Roman;Times;serif"/>
          <w:b w:val="false"/>
          <w:i w:val="false"/>
          <w:caps w:val="false"/>
          <w:smallCaps w:val="false"/>
          <w:sz w:val="20"/>
        </w:rPr>
        <w:t>1</w:t>
      </w:r>
      <w:r>
        <w:rPr>
          <w:rFonts w:ascii="Times New Roman;Times;serif" w:hAnsi="Times New Roman;Times;serif"/>
          <w:sz w:val="20"/>
        </w:rPr>
        <w:t>-to-84.18, subject to adjustments. In connection with the PIPE Issuance, the Company also issued to the investor 2,500,000 warrants with an exercise price of $12.00 per share (Note 12). As of May 31, 2026, the Company accrued dividends of $781,151.</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October 15, 2025, the Company entered into a consulting agreement with the CFO of the Company. Pursuant to the agreement, the Company will use commercially reasonable efforts to issue 90,000 stock options to the CFO upon completion of listing on Nasdaq. As of May 31, 2026, the Company issued 14,000 stock options and 42,000 RSUs to the CFO. A commitment to issue 34,000 stock options remains yet to be met. Following the de-SPAC transaction, the CFO is expected to enter into an executive employment agreement with the Company, which was approved by the board on June 5, 2026 (Note 19). Pursuant to the new executive employment agreement, the CFO may receive an additional 10,000 RSUs pursuant to the EIP, subject to the board’s approval.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October 16, 2025, the Company entered into an operating lease agreement from an unrelated third party for the office space in New York for </w:t>
      </w:r>
      <w:r>
        <w:rPr>
          <w:rFonts w:ascii="Times New Roman;Times;serif" w:hAnsi="Times New Roman;Times;serif"/>
          <w:b w:val="false"/>
          <w:i w:val="false"/>
          <w:caps w:val="false"/>
          <w:smallCaps w:val="false"/>
          <w:sz w:val="20"/>
        </w:rPr>
        <w:t>62 months</w:t>
      </w:r>
      <w:r>
        <w:rPr>
          <w:rFonts w:ascii="Times New Roman;Times;serif" w:hAnsi="Times New Roman;Times;serif"/>
          <w:sz w:val="20"/>
        </w:rPr>
        <w:t>, which commenced on January 1, 2026 (Note 10). The monthly payments approximate $14,457 and ancillary expenses. During the period ended May 31, 2026, rent expense under this agreement totaled $71,118 (May 31, 2025 - $Nil).</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November 3, 2025, the Company entered into an operating lease agreement from an unrelated third party for the office space in Vancouver for 2 years (Note 10). The monthly payments approximate $4,211 (CAD $5,787) and ancillary expenses. During the period ended May 31, 2026, rent expense under this agreement totaled $22,463 (May 31, 2025 - $Nil).</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24, 2026, upon the completion of the de-SPAC transaction (Note 4), the Company granted the right to certain shareholders of the Company to receive Earnout Shares (Note 12). During the Earnout Period until February 24, 2031, if the Earnout Target is met, or if a change of control transaction occurs during the Earnout Period and the Earnout Target was not already met, the Company will grant 1,500,000 Earnout Shares to the eligible shareholders. No Earnout Share has been issued as of May 31, 2026.</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March 27, 2026, the Company entered into a drilling services agreement with Harris Exploration Drilling &amp; Associates Inc. to complete a 27,000 ft drill program at the AUP to address data gaps and advance the AUP towards a pre-feasibility study. The drill program is expected to commence in July 2026, subject to requisite permit approvals from BLM and DOGAMI. The agreement may be terminated for convenience at any time by the Company with 30 days prior written notice at no penalty, with only payment required for work actually performed up to the effective date of termination and for reasonable, documented demobilization costs directly resulting from such termination.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April 28, 2026, the Company entered into a services agreement with Tensor Medium Corporation, an advanced algorithm and artificial intelligence company, to support reactor modeling, simulation and optimization efforts connected to the Company’s SMR program, including reactor engineering support, materials optimization, quantum development, and support for future licensing readiness in connection with the Company’s SMR development initiatives. The contract is for a term of 12 months and may be terminated for convenience at any time by either party with 30 days prior written notice at no penalty.</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Contingencies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could potentially become involved in various lawsuits, actions and claims, from time to time, arising in the ordinary course of business, although management is not aware of any such lawsuits, actions or claims at the date of issuance of these unaudited condensed consolidated interim financial statements. In management’s opinion, should any such items occur, the ultimate outcome will not have a material adverse effect on the financial position or results of operations of the Company.</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RISK CONCENTRATION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Financial instruments, which potentially subject the Company to concentration of risk, consist principally of cash and accounts payable and accrued liabilities. The total uninsured cash balance as of May 31, 2026 was $27,748,634 (November 30, 2025 - $980,411). The uninsured cash balance located in Canada was $160,081 and the uninsured cash balance located in the United States was $27,588,553.</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18.</w:t>
      </w:r>
      <w:r>
        <w:rPr>
          <w:rFonts w:ascii="Times New Roman;Times;serif" w:hAnsi="Times New Roman;Times;serif"/>
          <w:b/>
          <w:sz w:val="20"/>
        </w:rPr>
        <w:t>SEGMENT INFORMATION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Operating segments are defined as components of an entity for which separate financial information is available and regularly reviewed by the Chief Operating Decision Maker (“CODM”) in deciding how to allocate resources and assess performance. The Company’s CODM is the Chief Executive Officer. The Company has determined that it operates in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operating segment in a single geographic region, as the Company is an integrated uranium exploration and SMR development operation in North America.</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CODM receives and reviews financial information on a consolidated basis. The CODM evaluates performance and allocates resources based on consolidated net loss, as presented in the Company’s unaudited condensed consolidated interim statement of operations, and monitors budget-to-actual variances for significant expense categories given their direct relationship to cash burn. The CODM also reviews the consolidated balance sheet to assess liquidity.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EAGLE NUCLEAR ENERGY CORP.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INTERIM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 THE THREE AND SIX MONTHS ENDED MAY 31, 2026 AND 2025 (UNAUDITED)</w:t>
      </w:r>
    </w:p>
    <w:p>
      <w:pPr>
        <w:pStyle w:val="TextBody"/>
        <w:bidi w:val="0"/>
        <w:spacing w:before="0" w:after="240"/>
        <w:ind w:left="360" w:right="0" w:hanging="0"/>
        <w:jc w:val="both"/>
        <w:rPr>
          <w:rFonts w:ascii="Times New Roman;Times;serif" w:hAnsi="Times New Roman;Times;serif"/>
          <w:sz w:val="20"/>
        </w:rPr>
      </w:pPr>
      <w:bookmarkStart w:id="1327" w:name="Tc_jHi-9gzobEWO0YnD1vgtAA_12_11"/>
      <w:bookmarkStart w:id="1328" w:name="Tc_zCmaXfpMkU-6MuH2TWeC2w_12_8"/>
      <w:bookmarkStart w:id="1329" w:name="Tc_LfW8VjzMLketp9DNIbEg-Q_12_5"/>
      <w:bookmarkStart w:id="1330" w:name="Tc_s8jI4lGWakmpSeZrajvs_Q_12_2"/>
      <w:bookmarkStart w:id="1331" w:name="Tc_UfSCTyq6zUW0wAYAJIlJvg_12_0"/>
      <w:bookmarkStart w:id="1332" w:name="Tc_xyZ0MteS9kGl3ShikydAdw_11_0"/>
      <w:bookmarkStart w:id="1333" w:name="Tc_gYSx-z5NaEahaAHjzKNfug_10_12"/>
      <w:bookmarkStart w:id="1334" w:name="Tc_tQuEPetX5Uy6xVMdzsXaNg_10_6"/>
      <w:bookmarkStart w:id="1335" w:name="Tc_K2hNR8AZK0aw9YuiGpBKAA_10_0"/>
      <w:bookmarkStart w:id="1336" w:name="Tc_hvy67CsYmkWpP98mKyjWFA_9_12"/>
      <w:bookmarkStart w:id="1337" w:name="Tc_eYRbXdHPFkKUGn7E1PuBOw_9_6"/>
      <w:bookmarkStart w:id="1338" w:name="Tc_nW0ZRnd-nk-gmFrGPqWFMA_9_0"/>
      <w:bookmarkStart w:id="1339" w:name="Tc_7MLMS_F2-UitUF7Y3-KwLg_8_0"/>
      <w:bookmarkStart w:id="1340" w:name="Tc_Ravcyj-VxEq87IvBKS-RKQ_7_0"/>
      <w:bookmarkStart w:id="1341" w:name="Tc_7A_HTCiBTUurY_NxpNvmVw_6_11"/>
      <w:bookmarkStart w:id="1342" w:name="Tc_P0Jlnfk6KEqy-_ZNB1Xpcg_6_8"/>
      <w:bookmarkStart w:id="1343" w:name="Tc_Rcb8jwVLWkK73G3GRk5fHA_6_5"/>
      <w:bookmarkStart w:id="1344" w:name="Tc_t5BAvUhjBESPUSc5aL2JJQ_6_2"/>
      <w:bookmarkStart w:id="1345" w:name="Tc_0I0LRFIe4UC_7eFiOhTxwA_6_0"/>
      <w:bookmarkStart w:id="1346" w:name="Tc_xQg3jmhWw0-ZZ_d6_80ZsA_5_0"/>
      <w:bookmarkStart w:id="1347" w:name="Tc_wj9x1vDo1kKc2V6_E36PIQ_3_11"/>
      <w:bookmarkStart w:id="1348" w:name="Tc_AH7lXS_U2UWQue4gotbODg_3_8"/>
      <w:bookmarkStart w:id="1349" w:name="Tc_urR0yAxgU0Wr0M9oo5Ah7g_3_5"/>
      <w:bookmarkStart w:id="1350" w:name="Tc_UPdOaaS4h0OF_oQ3pqPGnA_3_2"/>
      <w:bookmarkStart w:id="1351" w:name="Tc_YhMrKgk3RUCPeRAdhRMBPQ_2_11"/>
      <w:bookmarkStart w:id="1352" w:name="Tc_U7BjFHD1lUCHDQi2-10Sxw_2_8"/>
      <w:bookmarkStart w:id="1353" w:name="Tc_iErrbTsNYk6Cs0E2x_bJbQ_2_5"/>
      <w:bookmarkStart w:id="1354" w:name="Tc_EKySDuX8a0adfktY9ASqpw_2_2"/>
      <w:bookmarkStart w:id="1355" w:name="Tc_VDk6BoA4WEKa0x9uFgP2UQ_1_11"/>
      <w:bookmarkStart w:id="1356" w:name="Tc_Vqq2KG4BjUG1IgJzJaWFvg_1_8"/>
      <w:bookmarkStart w:id="1357" w:name="Tc_9PCyByjM00KIxuLI8XAZjQ_1_5"/>
      <w:bookmarkStart w:id="1358" w:name="Tc_MkCkq4jTH0WGYvEomQOa4w_1_2"/>
      <w:bookmarkStart w:id="1359" w:name="_f5bfdd2e_ec00_4378_bec2_9e74ac1f308e"/>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r>
        <w:rPr>
          <w:rFonts w:ascii="Times New Roman;Times;serif" w:hAnsi="Times New Roman;Times;serif"/>
          <w:sz w:val="20"/>
        </w:rPr>
        <w:t>Segment assets are the same as consolidated total assets of $43,089,741 as of May 31, 2026, and $2,887,962 as of November 30, 2025.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table below summarizes the significant expense categories regularly reviewed by the CODM, and reconciles to the Company’s condensed consolidated net loss as presented in the unaudited condensed consolidated statement of operations:</w:t>
      </w:r>
    </w:p>
    <w:p>
      <w:pPr>
        <w:pStyle w:val="TextBody"/>
        <w:bidi w:val="0"/>
        <w:spacing w:before="0" w:after="0"/>
        <w:ind w:left="0" w:right="0" w:hanging="0"/>
        <w:jc w:val="left"/>
        <w:rPr/>
      </w:pPr>
      <w:r>
        <w:rPr/>
        <w:t>​</w:t>
      </w:r>
    </w:p>
    <w:tbl>
      <w:tblPr>
        <w:tblW w:w="10078" w:type="dxa"/>
        <w:jc w:val="left"/>
        <w:tblInd w:w="0" w:type="dxa"/>
        <w:tblLayout w:type="fixed"/>
        <w:tblCellMar>
          <w:top w:w="0" w:type="dxa"/>
          <w:left w:w="0" w:type="dxa"/>
          <w:bottom w:w="0" w:type="dxa"/>
          <w:right w:w="0" w:type="dxa"/>
        </w:tblCellMar>
      </w:tblPr>
      <w:tblGrid>
        <w:gridCol w:w="3331"/>
        <w:gridCol w:w="346"/>
        <w:gridCol w:w="226"/>
        <w:gridCol w:w="1156"/>
        <w:gridCol w:w="346"/>
        <w:gridCol w:w="226"/>
        <w:gridCol w:w="1051"/>
        <w:gridCol w:w="346"/>
        <w:gridCol w:w="226"/>
        <w:gridCol w:w="1156"/>
        <w:gridCol w:w="346"/>
        <w:gridCol w:w="226"/>
        <w:gridCol w:w="1096"/>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15185" cy="175260"/>
                      <wp:effectExtent l="0" t="0" r="0" b="0"/>
                      <wp:wrapNone/>
                      <wp:docPr id="243" name="Frame243"/>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43510" cy="175260"/>
                      <wp:effectExtent l="0" t="0" r="0" b="0"/>
                      <wp:wrapNone/>
                      <wp:docPr id="245" name="Frame2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734060" cy="175260"/>
                      <wp:effectExtent l="0" t="0" r="0" b="0"/>
                      <wp:wrapNone/>
                      <wp:docPr id="246" name="Frame24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7"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43510" cy="175260"/>
                      <wp:effectExtent l="0" t="0" r="0" b="0"/>
                      <wp:wrapNone/>
                      <wp:docPr id="248" name="Frame24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67385" cy="175260"/>
                      <wp:effectExtent l="0" t="0" r="0" b="0"/>
                      <wp:wrapNone/>
                      <wp:docPr id="249" name="Frame24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43510" cy="175260"/>
                      <wp:effectExtent l="0" t="0" r="0" b="0"/>
                      <wp:wrapNone/>
                      <wp:docPr id="251" name="Frame25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734060" cy="175260"/>
                      <wp:effectExtent l="0" t="0" r="0" b="0"/>
                      <wp:wrapNone/>
                      <wp:docPr id="252" name="Frame252"/>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43510" cy="175260"/>
                      <wp:effectExtent l="0" t="0" r="0" b="0"/>
                      <wp:wrapNone/>
                      <wp:docPr id="254" name="Frame25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95960" cy="175260"/>
                      <wp:effectExtent l="0" t="0" r="0" b="0"/>
                      <wp:wrapNone/>
                      <wp:docPr id="255" name="Frame25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8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For the three </w:t>
            </w:r>
          </w:p>
        </w:tc>
        <w:tc>
          <w:tcPr>
            <w:tcW w:w="346" w:type="dxa"/>
            <w:tcBorders/>
            <w:vAlign w:val="center"/>
          </w:tcPr>
          <w:p>
            <w:pPr>
              <w:pStyle w:val="TableContents"/>
              <w:bidi w:val="0"/>
              <w:spacing w:before="0" w:after="1"/>
              <w:ind w:left="0" w:right="0" w:hanging="0"/>
              <w:jc w:val="center"/>
              <w:rPr/>
            </w:pPr>
            <w:r>
              <w:rPr/>
              <w:t>  ​ ​ ​</w:t>
            </w:r>
          </w:p>
        </w:tc>
        <w:tc>
          <w:tcPr>
            <w:tcW w:w="127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For the three </w:t>
            </w:r>
          </w:p>
        </w:tc>
        <w:tc>
          <w:tcPr>
            <w:tcW w:w="346" w:type="dxa"/>
            <w:tcBorders/>
            <w:vAlign w:val="center"/>
          </w:tcPr>
          <w:p>
            <w:pPr>
              <w:pStyle w:val="TableContents"/>
              <w:bidi w:val="0"/>
              <w:spacing w:before="0" w:after="1"/>
              <w:ind w:left="0" w:right="0" w:hanging="0"/>
              <w:jc w:val="center"/>
              <w:rPr/>
            </w:pPr>
            <w:r>
              <w:rPr/>
              <w:t>  ​ ​ ​</w:t>
            </w:r>
          </w:p>
        </w:tc>
        <w:tc>
          <w:tcPr>
            <w:tcW w:w="138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For the six </w:t>
            </w:r>
          </w:p>
        </w:tc>
        <w:tc>
          <w:tcPr>
            <w:tcW w:w="346" w:type="dxa"/>
            <w:tcBorders/>
            <w:vAlign w:val="center"/>
          </w:tcPr>
          <w:p>
            <w:pPr>
              <w:pStyle w:val="TableContents"/>
              <w:bidi w:val="0"/>
              <w:spacing w:before="0" w:after="1"/>
              <w:ind w:left="0" w:right="0" w:hanging="0"/>
              <w:jc w:val="center"/>
              <w:rPr/>
            </w:pPr>
            <w:r>
              <w:rPr/>
              <w:t>  ​ ​ ​</w:t>
            </w:r>
          </w:p>
        </w:tc>
        <w:tc>
          <w:tcPr>
            <w:tcW w:w="132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For the six </w:t>
            </w:r>
          </w:p>
        </w:tc>
      </w:tr>
      <w:tr>
        <w:trPr/>
        <w:tc>
          <w:tcPr>
            <w:tcW w:w="3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8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months ended </w:t>
            </w:r>
          </w:p>
        </w:tc>
        <w:tc>
          <w:tcPr>
            <w:tcW w:w="346" w:type="dxa"/>
            <w:tcBorders/>
            <w:vAlign w:val="center"/>
          </w:tcPr>
          <w:p>
            <w:pPr>
              <w:pStyle w:val="TableContents"/>
              <w:bidi w:val="0"/>
              <w:spacing w:before="0" w:after="1"/>
              <w:ind w:left="0" w:right="0" w:hanging="0"/>
              <w:jc w:val="center"/>
              <w:rPr/>
            </w:pPr>
            <w:r>
              <w:rPr/>
              <w:t>​</w:t>
            </w:r>
          </w:p>
        </w:tc>
        <w:tc>
          <w:tcPr>
            <w:tcW w:w="1277"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months ended </w:t>
            </w:r>
          </w:p>
        </w:tc>
        <w:tc>
          <w:tcPr>
            <w:tcW w:w="346" w:type="dxa"/>
            <w:tcBorders/>
            <w:vAlign w:val="center"/>
          </w:tcPr>
          <w:p>
            <w:pPr>
              <w:pStyle w:val="TableContents"/>
              <w:bidi w:val="0"/>
              <w:spacing w:before="0" w:after="1"/>
              <w:ind w:left="0" w:right="0" w:hanging="0"/>
              <w:jc w:val="left"/>
              <w:rPr/>
            </w:pPr>
            <w:r>
              <w:rPr/>
              <w:t>​</w:t>
            </w:r>
          </w:p>
        </w:tc>
        <w:tc>
          <w:tcPr>
            <w:tcW w:w="138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months ended </w:t>
            </w:r>
          </w:p>
        </w:tc>
        <w:tc>
          <w:tcPr>
            <w:tcW w:w="346" w:type="dxa"/>
            <w:tcBorders/>
            <w:vAlign w:val="center"/>
          </w:tcPr>
          <w:p>
            <w:pPr>
              <w:pStyle w:val="TableContents"/>
              <w:bidi w:val="0"/>
              <w:spacing w:before="0" w:after="1"/>
              <w:ind w:left="0" w:right="0" w:hanging="0"/>
              <w:jc w:val="center"/>
              <w:rPr/>
            </w:pPr>
            <w:r>
              <w:rPr/>
              <w:t>​</w:t>
            </w:r>
          </w:p>
        </w:tc>
        <w:tc>
          <w:tcPr>
            <w:tcW w:w="132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months ended </w:t>
            </w:r>
          </w:p>
        </w:tc>
      </w:tr>
      <w:tr>
        <w:trPr/>
        <w:tc>
          <w:tcPr>
            <w:tcW w:w="3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May 31, 2026</w:t>
            </w:r>
          </w:p>
        </w:tc>
        <w:tc>
          <w:tcPr>
            <w:tcW w:w="346" w:type="dxa"/>
            <w:tcBorders/>
            <w:vAlign w:val="center"/>
          </w:tcPr>
          <w:p>
            <w:pPr>
              <w:pStyle w:val="TableContents"/>
              <w:bidi w:val="0"/>
              <w:spacing w:before="0" w:after="1"/>
              <w:ind w:left="0" w:right="0" w:hanging="0"/>
              <w:jc w:val="center"/>
              <w:rPr/>
            </w:pPr>
            <w:r>
              <w:rPr/>
              <w:t>​</w:t>
            </w:r>
          </w:p>
        </w:tc>
        <w:tc>
          <w:tcPr>
            <w:tcW w:w="12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May 31, 2025</w:t>
            </w:r>
          </w:p>
        </w:tc>
        <w:tc>
          <w:tcPr>
            <w:tcW w:w="346" w:type="dxa"/>
            <w:tcBorders/>
            <w:vAlign w:val="center"/>
          </w:tcPr>
          <w:p>
            <w:pPr>
              <w:pStyle w:val="TableContents"/>
              <w:bidi w:val="0"/>
              <w:spacing w:before="0" w:after="1"/>
              <w:ind w:left="0" w:right="0" w:hanging="0"/>
              <w:jc w:val="center"/>
              <w:rPr/>
            </w:pPr>
            <w:r>
              <w:rPr/>
              <w:t>​</w:t>
            </w:r>
          </w:p>
        </w:tc>
        <w:tc>
          <w:tcPr>
            <w:tcW w:w="13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May 31, 2026</w:t>
            </w:r>
          </w:p>
        </w:tc>
        <w:tc>
          <w:tcPr>
            <w:tcW w:w="346" w:type="dxa"/>
            <w:tcBorders/>
            <w:vAlign w:val="center"/>
          </w:tcPr>
          <w:p>
            <w:pPr>
              <w:pStyle w:val="TableContents"/>
              <w:bidi w:val="0"/>
              <w:spacing w:before="0" w:after="1"/>
              <w:ind w:left="0" w:right="0" w:hanging="0"/>
              <w:jc w:val="center"/>
              <w:rPr/>
            </w:pPr>
            <w:r>
              <w:rPr/>
              <w:t>​</w:t>
            </w:r>
          </w:p>
        </w:tc>
        <w:tc>
          <w:tcPr>
            <w:tcW w:w="13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May 31, 2025</w:t>
            </w:r>
          </w:p>
        </w:tc>
      </w:tr>
      <w:tr>
        <w:trPr/>
        <w:tc>
          <w:tcPr>
            <w:tcW w:w="33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11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11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pPr>
            <w:r>
              <w:rPr/>
              <w:t>​</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center"/>
              <w:rPr/>
            </w:pPr>
            <w:r>
              <w:rPr/>
              <w:t>  ​</w:t>
            </w:r>
          </w:p>
        </w:tc>
        <w:tc>
          <w:tcPr>
            <w:tcW w:w="115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center"/>
              <w:rPr/>
            </w:pPr>
            <w:r>
              <w:rPr/>
              <w:t>  ​</w:t>
            </w:r>
          </w:p>
        </w:tc>
        <w:tc>
          <w:tcPr>
            <w:tcW w:w="105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center"/>
              <w:rPr/>
            </w:pPr>
            <w:r>
              <w:rPr/>
              <w:t>  ​</w:t>
            </w:r>
          </w:p>
        </w:tc>
        <w:tc>
          <w:tcPr>
            <w:tcW w:w="115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center"/>
              <w:rPr/>
            </w:pPr>
            <w:r>
              <w:rPr/>
              <w:t>  ​</w:t>
            </w:r>
          </w:p>
        </w:tc>
        <w:tc>
          <w:tcPr>
            <w:tcW w:w="1096" w:type="dxa"/>
            <w:tcBorders/>
            <w:shd w:fill="CCEEFF" w:val="clear"/>
            <w:vAlign w:val="center"/>
          </w:tcPr>
          <w:p>
            <w:pPr>
              <w:pStyle w:val="TableContents"/>
              <w:bidi w:val="0"/>
              <w:spacing w:before="0" w:after="1"/>
              <w:ind w:left="0" w:right="0" w:hanging="0"/>
              <w:jc w:val="center"/>
              <w:rPr/>
            </w:pPr>
            <w:r>
              <w:rPr/>
              <w:t>​</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Exploration expense</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496,419</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56,678</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723,920</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63,983</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Office and administrative</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righ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831,489</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60,539</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righ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1,238,685</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righ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91,580</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righ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2,010,841</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710,540</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righ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2,469,761</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1,213,453</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Salaries and wages</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righ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3,295,905</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righ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3,353,846</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righ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righ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17,750,724</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righ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17,750,724</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right"/>
              <w:rPr/>
            </w:pPr>
            <w:r>
              <w:rPr/>
              <w:t>​</w:t>
            </w:r>
          </w:p>
        </w:tc>
        <w:tc>
          <w:tcPr>
            <w:tcW w:w="1096" w:type="dxa"/>
            <w:tcBorders/>
            <w:vAlign w:val="center"/>
          </w:tcPr>
          <w:p>
            <w:pPr>
              <w:pStyle w:val="TableContents"/>
              <w:bidi w:val="0"/>
              <w:spacing w:before="0" w:after="1"/>
              <w:ind w:left="0" w:right="0" w:hanging="0"/>
              <w:jc w:val="right"/>
              <w:rPr/>
            </w:pPr>
            <w:r>
              <w:rPr/>
              <w:t>—</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segment items*</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676,569</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197,349</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996,893</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323,085</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(25,061,947)</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(1,025,106)</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(26,533,829)</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(1,692,101)</w:t>
            </w:r>
          </w:p>
        </w:tc>
      </w:tr>
    </w:tbl>
    <w:p>
      <w:pPr>
        <w:pStyle w:val="TextBody"/>
        <w:bidi w:val="0"/>
        <w:spacing w:before="0" w:after="240"/>
        <w:ind w:left="360" w:right="0" w:hanging="0"/>
        <w:jc w:val="both"/>
        <w:rPr>
          <w:shd w:fill="FFFF00" w:val="clear"/>
        </w:rPr>
      </w:pPr>
      <w:r>
        <w:rPr>
          <w:shd w:fill="FFFF00" w:val="clear"/>
        </w:rPr>
        <w:t>​</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Other segment items consist of business development, amortization and depreciation, rent expense, investor relations, licensing fee expense, travel and entertainment, interest income, and loss on foreign currency transactions.</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19.</w:t>
      </w:r>
      <w:r>
        <w:rPr>
          <w:rFonts w:ascii="Times New Roman;Times;serif" w:hAnsi="Times New Roman;Times;serif"/>
          <w:b/>
          <w:sz w:val="20"/>
        </w:rPr>
        <w:t>SUBSEQUENT EVENTS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evaluated all events and transactions occurring subsequent to May 31, 2026, through the date the unaudited condensed consolidated interim financial statements were issued, for items requiring adjustment to or disclosure in the accompanying unaudited condensed consolidated interim financial statements and notes to the unaudited condensed consolidated interim financial statements. The Company noted no such events or transactions other than those described below.</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June 5, 2026, the board of directors of the Company approved and ratified the written CEO and CFO employment agreements, effective upon the consummation of the de-SPAC, with annualized base salaries at $350,000 and $180,000, respectively, and eligibility to receive certain incentive bonuses and to participate in the EIP of the Company, as disclosed in Note 16.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360" w:name="Item2ManagementsDiscussionandAnalysisofF"/>
      <w:bookmarkStart w:id="1361" w:name="_ea5be65a_d81c_45f7_aff1_e55a0fb1f9b4"/>
      <w:bookmarkEnd w:id="1360"/>
      <w:bookmarkEnd w:id="1361"/>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discussion and analysis of the Company’s financial condition and results of operations should be read in conjunction with the unaudited condensed consolidated interim financial statements and related notes contained therein which have been prepared in accordance with US GAAP. This discussion contains forward-looking statements reflecting our current expectations,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titled “Risk Factors” and “Cautionary Note Regarding Forward-Looking Statements” appearing elsewhere in this Quarterly Report. All figures are in US dollars unless otherwise noted. Unless the context otherwise requires, for the purposes of this section, “Eagle Nuclear”, “we”, “us”, “our”, or the “Company” refer to Eagle Nuclear Energy Corp. and its subsidiaries.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Eagle Nuclear Energy Corp. was incorporated on December 19, 2025, under the laws of the state of Nevada. The Company is a next-generation nuclear energy company that seeks to combine domestic uranium exploration and development with proprietary small modular reactor (“SMR”) technology, with the intent of establishing a vertically integrated business model, combining uranium exploration, extraction, and production with the design and development of modular nuclear reactors intended to supply reliable power for industrial use and electricity grids. Through this approach, the Company aims to support energy security and meet growing demand for clean and scalable nuclear power solutions.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corporate office and mailing address are located at 5470 Kietzke Lane, Suite 300, Reno, NV 89511 and the Company’s phone number is (775) 335-2029. The Company’s website address is https://eaglenuclear.com. Information contained on our website or connected thereto does not constitute part of, and is not incorporated by reference into, this Quarterly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not yet commenced its principal operations as of May 31,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Through the acquisition of Oregon Energy LLC (“Oregon Energy”) on February 24, 2026, the Company currently owns mining claims to explore and extract uranium (Aurora Uranium Project (“AUP”)) located in Malheur County, Oregon, approximately 16 kilometers northwest of McDermitt, Nevada. As of May 31, 2026, the Company holds 263 unpatented lode mining claims and 71 unpatented placer mining claims in the AUP, along with 27 unpatented placer mining claims in Humboldt County, Nevada. These claims collectively cover an area of approximately 43 square kilometers.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Company Formation and Reverse Recapitalization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was incorporated as a subsidiary of Spring Valley Acquisition Corp. II (“SVII”), a special purpose acquisition corporation incorporated in the Cayman Islands, for the purpose of completing a reverse acquisition between Eagle Energy Metals Corp. (“Eagle Energy”) and SVII, pursuant to an agreement and plan of merger (“BCA”) entered into on July 30, 2025 and as amended on September 29, 2025. On February 24, 2026, the Company, Eagle Energy, and SVII completed the reverse acquisition transaction. The transaction is also referred to as the “de-SPAC” transaction. Each of Eagle Energy and SVII became a subsidiary of the Company as part of the de-SPAC transaction. Eagle Energy is deemed as the acquirer for accounting purposes, and therefore its assets, liabilities and operations are included in the unaudited condensed consolidated interim financial statements at their historical carrying values. The Company’s operations are considered to be a continuance of the business and operations of Eagle Energy, with the Company’s operations being included beginning on February 24, 2026, the closing date of the de-SPAC transaction.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Under the BCA, former shareholders of nonredeemable common stock of Eagle Energy received 18,888,289 shares of common stock in the Company, representing a consolidation on a 5.8349:1 basis. The former shareholder of redeemable common stock of Eagle Energy received 2,750,000 shares of common stock in the Company, representing a consolidation on a 5.8:1 basis. Former shareholders of SVII received 3,630,051 shares of common stock in the Company, representing a one-for-one exchange of shares of Class A and Class B common stock of SVII. The Company also issued 2,299,982 shares of common stock to holders of 23,000,000 rights of SVII, which were converted into shares of SVII on a 10:1 basis upon the consummation of a business combination by SVII. A total of 5,930,033 shares of common stock are retained by former shareholders of SVII. A further 300,000 shares of common stock was issued to a service provider in consideration for transaction costs associated with the de-SPAC transaction.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common stock and public warrants of the Company began trading on Nasdaq under the ticker symbols of “NUCL” and “NUCLW”, respectively, on February 25,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Engagement of consultant to support reactor simulation and optimization for SMR program</w:t>
      </w:r>
    </w:p>
    <w:p>
      <w:pPr>
        <w:pStyle w:val="TextBody"/>
        <w:bidi w:val="0"/>
        <w:spacing w:before="0" w:after="240"/>
        <w:ind w:left="0" w:right="0"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On June 9, 2026, the Company announced it has engaged Tensor Medium Corporation, an advanced algorithm and artificial intelligence company, to support reactor modeling, simulation and optimization efforts connected to the Company’s SMR program, including reactor engineering support, materials optimization, quantum development, and support for future licensing readiness in connection with the Company’s SMR development initiatives.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Commencement of environmental baseline studies at AUP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 2026, the Company announced its intention to conduct a 27,000 ft drill program at the AUP during the summer of 2026, pursuant to a comprehensive “Gap Analysis” study completed by the Company’s resource consultants, designed to address data gaps at the AUP in order to advance the AUP towards a pre-feasibility study.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these studies, the Company announced on April 9, 2026 that it has entered into a Drilling Services Agreement with Harris Exploration Drilling &amp; Associates Inc. of Fallon, NV to complete the drill program, with program commencement expected to be in July 2026, subject to requisite permit approvals from the federal Bureau of Land Management (“BLM”) and the Oregon Department of Geology and Mineral Industries (“DOGAMI”), with permitting efforts led by SLR International Corporation.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Pre-drilling environmental baseline studies are under way to collect meteorological, hydrological, cultural, and archeological data, with additional environmental baseline studies expected to be undertaken in advance of commencement of drilling. In connection with these efforts, the Company has completed the installation of a 10-meter high meteorological station at the AUP for the collection of ambient weather and atmospheric data, including wind speed and direction, temperature, humidity, barometric pressure, and solar radiation.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PIPE Financing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Concurrently with the completion of the de-SPAC transaction, the Company also completed a PIPE Financing and raised $29,700,000, in exchange for the issuance of 29,700 shares of Series A Cumulative Convertible Preferred Stock, which are initially convertible into common stock on a 1-to-84.18 basis, and 2,500,000 PIPE warrants. The Series A Cumulative Convertible Preferred Stock have an initial stated value of $1,000 per share, are redeemable at the option of the holder beginning February 24, 2031, and accrues dividends at 12% annually (if paid in kind), or 10% annually (if paid in cash).</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Acquisition of Oregon Energy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Eagle Energy, a subsidiary of the Company, previously entered into a property option agreement with Aurora Energy Metals Ltd. (“Aurora”) (the “Aurora Option Agreement”) on November 18, 2024 for a property option agreement over Oregon Energy, and paid an aggregate of $1,000,000 in option and extension payments (for extension options triggered on May 18, 2025 and November 18, 2025), as well as $219,545 in reimbursements of mining expenditures of Oregon Energy, pursuant to the terms of the Aurora Option Agreement, which Eagle Energy was committed to reimburse up to $500,000 of exploration expenditures of Oregon Energy due to the triggering of the extension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26, 2025, Eagle Energy, Aurora Energy, and Oregon Energy executed a First Amendment to the Property Option Agreement. The amendment (i) revised the second extension to complete a Listing Event from a six month period (deadline of May 18, 2026) to a 225 day period (deadline of July 2, 2026), and (ii) provides that the Resource Payment provisions under which Aurora Energy may be entitled to additional payment shares as mentioned hereinafter are amended such that the determination is made following the next newly prepared SK1300 mineral resource update published by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24, 2026, immediately before the completion of the de-SPAC transaction, Eagle Energy, Aurora Energy, and Oregon Energy executed a Second Amendment to the Property Option Agreement. The amendment (i) confirmed the number of Aurora Option Payment Shares to be issued, (ii) set the deadline for grant of NSR to Aurora Energy to be on or before 10 business days after the closing date, and (iii) clarified certain terms and conditions of the Aurora Option Agreement, including terms related to the Resource Payment and the Pre-Feasibility Bonus (as hereinafter defined) are intended to survive closing until those covenants have been fully performed.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24, 2026, the Company issued 1,710,991 shares of common stock to Aurora Energy for the acquisition of 100% interest in Oregon Energy, upon the completion of the de-SPAC transaction. The number of shares issued was calculated based on a “listing payment” of $16,000,000, upward adjusted for 50% of the increase in uranium spot price between November 18, 2024 and February 24, 2026, to $17,109,910. The number of shares issued, being 1,710,991 shares, was based on the deemed transaction price of $10 per share in the BCA, as the Company’s listing event that triggered the exercise of the option to acquire Oregon Energy was a reverse acquisition transaction.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Aurora Energy may be entitled to additional payment shares (the “Resource Payment”). If the Company identifies a measured and/or indicated mineral resource, in its next newly prepared SK1300 mineral resources update, of at least 40 million pounds of U3O8, Aurora Energy will be entitled to receive $4,000,000 in Resource Payment. Each additional 1,000,000 pounds of U3O8 above 40 million pounds will further increase the total value of the Resource Payment by $200,000, up to a maximum of $1,000,000, resulting in an overall maximum of $5,000,000 of Resource Payment. The number of shares issuable for a Resource Payment is calculated based on the 30-day volume-weighted average trading price (“VWAP”) of the Company’s shares for the 30 trading days prior to the date of the announcement of the SK1300 mineral resource update.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 upon completion of a positive pre-feasibility study on the project following the listing of the Company on Nasdaq, the Company will issue to Aurora Energy additional payment shares (the “Pre-Feasibility Bonus”) with a value of $5,000,000, determined by the 30-day VWAP of the Company’s shares during the 30 days prior to the announcement of the pre-feasibility study.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terms of the Aurora Option Agreement, Aurora Energy retained a 1.0% net smelter return (“NSR”) royalty on the mineral rights, which constitutes a perpetual interest in the underlying assets. Certain contingent and deferred consideration obligations (including resource-based and pre-feasibility milestone payments) remain outstanding and will be recognized when probable. The Company has a right to repurchase one-half of the NSR for $1,000,000; or the entire NSR for $2,000,000; and has a right of first refusal of any proposed sale by Aurora Energy of all or part of the NSR.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 xml:space="preserve">In 2025, Eagle Energy, a subsidiary of the Company, engaged BBA USA Inc, to complete a S-K 1300 Technical Report Summary on the AUP (the “S-K 1300 AUP TRS”). BBA USA Inc completed the S-K 1300 AUP TRS which is entitled </w:t>
      </w:r>
      <w:r>
        <w:rPr>
          <w:rFonts w:ascii="Times New Roman;Times;serif" w:hAnsi="Times New Roman;Times;serif"/>
          <w:i/>
          <w:sz w:val="20"/>
        </w:rPr>
        <w:t>S-K 1300 Technical Report Summary Mineral Resources Estimate for the Aurora Uranium Project; Report Date: August 8, 2025</w:t>
      </w:r>
      <w:r>
        <w:rPr>
          <w:rFonts w:ascii="Times New Roman;Times;serif" w:hAnsi="Times New Roman;Times;serif"/>
          <w:sz w:val="20"/>
        </w:rPr>
        <w:t>. The report was filed with the Securities and Exchange Commission on September 30, 2025, as an exhibit to a Form S-4 of the Company.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Results of Operations – For the Six Months Ended May 31, 2026 and 2025 (unaudited):</w:t>
      </w:r>
    </w:p>
    <w:tbl>
      <w:tblPr>
        <w:tblW w:w="9459" w:type="dxa"/>
        <w:jc w:val="left"/>
        <w:tblInd w:w="0" w:type="dxa"/>
        <w:tblLayout w:type="fixed"/>
        <w:tblCellMar>
          <w:top w:w="0" w:type="dxa"/>
          <w:left w:w="0" w:type="dxa"/>
          <w:bottom w:w="0" w:type="dxa"/>
          <w:right w:w="0" w:type="dxa"/>
        </w:tblCellMar>
      </w:tblPr>
      <w:tblGrid>
        <w:gridCol w:w="3946"/>
        <w:gridCol w:w="346"/>
        <w:gridCol w:w="1156"/>
        <w:gridCol w:w="346"/>
        <w:gridCol w:w="1111"/>
        <w:gridCol w:w="346"/>
        <w:gridCol w:w="1156"/>
        <w:gridCol w:w="346"/>
        <w:gridCol w:w="706"/>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505710" cy="175260"/>
                      <wp:effectExtent l="0" t="0" r="0" b="0"/>
                      <wp:wrapNone/>
                      <wp:docPr id="256" name="Frame256"/>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7"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734060" cy="175260"/>
                      <wp:effectExtent l="0" t="0" r="0" b="0"/>
                      <wp:wrapNone/>
                      <wp:docPr id="258" name="Frame258"/>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705485" cy="175260"/>
                      <wp:effectExtent l="0" t="0" r="0" b="0"/>
                      <wp:wrapNone/>
                      <wp:docPr id="260" name="Frame260"/>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734060" cy="175260"/>
                      <wp:effectExtent l="0" t="0" r="0" b="0"/>
                      <wp:wrapNone/>
                      <wp:docPr id="262" name="Frame262"/>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48310" cy="175260"/>
                      <wp:effectExtent l="0" t="0" r="0" b="0"/>
                      <wp:wrapNone/>
                      <wp:docPr id="264" name="Frame264"/>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w:t>
            </w:r>
          </w:p>
        </w:tc>
        <w:tc>
          <w:tcPr>
            <w:tcW w:w="346" w:type="dxa"/>
            <w:tcBorders/>
            <w:vAlign w:val="center"/>
          </w:tcPr>
          <w:p>
            <w:pPr>
              <w:pStyle w:val="TableContents"/>
              <w:bidi w:val="0"/>
              <w:spacing w:before="0" w:after="0"/>
              <w:ind w:left="0" w:right="0" w:hanging="0"/>
              <w:jc w:val="left"/>
              <w:rPr/>
            </w:pPr>
            <w:r>
              <w:rPr/>
              <w:t>  ​ ​ ​</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w:t>
            </w:r>
          </w:p>
        </w:tc>
        <w:tc>
          <w:tcPr>
            <w:tcW w:w="346" w:type="dxa"/>
            <w:tcBorders/>
            <w:vAlign w:val="center"/>
          </w:tcPr>
          <w:p>
            <w:pPr>
              <w:pStyle w:val="TableContents"/>
              <w:bidi w:val="0"/>
              <w:spacing w:before="0" w:after="0"/>
              <w:ind w:left="0" w:right="0" w:hanging="0"/>
              <w:jc w:val="left"/>
              <w:rPr/>
            </w:pPr>
            <w:r>
              <w:rPr/>
              <w:t>  ​ ​ ​</w:t>
            </w:r>
          </w:p>
        </w:tc>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346" w:type="dxa"/>
            <w:tcBorders/>
            <w:vAlign w:val="center"/>
          </w:tcPr>
          <w:p>
            <w:pPr>
              <w:pStyle w:val="TableContents"/>
              <w:bidi w:val="0"/>
              <w:spacing w:before="0" w:after="0"/>
              <w:ind w:left="0" w:right="0" w:hanging="0"/>
              <w:jc w:val="left"/>
              <w:rPr/>
            </w:pPr>
            <w:r>
              <w:rPr/>
              <w:t>  ​ ​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46" w:type="dxa"/>
            <w:tcBorders/>
            <w:vAlign w:val="center"/>
          </w:tcPr>
          <w:p>
            <w:pPr>
              <w:pStyle w:val="TableContents"/>
              <w:bidi w:val="0"/>
              <w:spacing w:before="0" w:after="0"/>
              <w:ind w:left="0" w:right="0" w:hanging="0"/>
              <w:jc w:val="left"/>
              <w:rPr/>
            </w:pPr>
            <w:r>
              <w:rPr/>
              <w:t>  ​ ​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31, 2025</w:t>
            </w:r>
          </w:p>
        </w:tc>
        <w:tc>
          <w:tcPr>
            <w:tcW w:w="346" w:type="dxa"/>
            <w:tcBorders/>
            <w:vAlign w:val="center"/>
          </w:tcPr>
          <w:p>
            <w:pPr>
              <w:pStyle w:val="TableContents"/>
              <w:bidi w:val="0"/>
              <w:spacing w:before="0" w:after="0"/>
              <w:ind w:left="0" w:right="0" w:hanging="0"/>
              <w:jc w:val="left"/>
              <w:rPr/>
            </w:pPr>
            <w:r>
              <w:rPr/>
              <w:t>  ​ ​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  ​ ​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w:t>
            </w:r>
          </w:p>
        </w:tc>
      </w:tr>
      <w:tr>
        <w:trPr/>
        <w:tc>
          <w:tcPr>
            <w:tcW w:w="39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348,277</w:t>
            </w:r>
          </w:p>
        </w:tc>
        <w:tc>
          <w:tcPr>
            <w:tcW w:w="346" w:type="dxa"/>
            <w:tcBorders/>
            <w:shd w:fill="CCEEFF" w:val="clear"/>
            <w:vAlign w:val="center"/>
          </w:tcPr>
          <w:p>
            <w:pPr>
              <w:pStyle w:val="TableContents"/>
              <w:bidi w:val="0"/>
              <w:spacing w:before="0" w:after="0"/>
              <w:ind w:left="0" w:right="0" w:hanging="0"/>
              <w:jc w:val="righ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348,277</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and depreciation</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8,026</w:t>
            </w:r>
          </w:p>
        </w:tc>
        <w:tc>
          <w:tcPr>
            <w:tcW w:w="346" w:type="dxa"/>
            <w:tcBorders/>
            <w:vAlign w:val="center"/>
          </w:tcPr>
          <w:p>
            <w:pPr>
              <w:pStyle w:val="TableContents"/>
              <w:bidi w:val="0"/>
              <w:spacing w:before="0" w:after="0"/>
              <w:ind w:left="0" w:right="0" w:hanging="0"/>
              <w:jc w:val="right"/>
              <w:rPr/>
            </w:pPr>
            <w:r>
              <w:rPr/>
              <w:t>​</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8,026</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Exploration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723,920</w:t>
            </w:r>
          </w:p>
        </w:tc>
        <w:tc>
          <w:tcPr>
            <w:tcW w:w="346" w:type="dxa"/>
            <w:tcBorders/>
            <w:shd w:fill="CCEEFF" w:val="clear"/>
            <w:vAlign w:val="center"/>
          </w:tcPr>
          <w:p>
            <w:pPr>
              <w:pStyle w:val="TableContents"/>
              <w:bidi w:val="0"/>
              <w:spacing w:before="0" w:after="0"/>
              <w:ind w:left="0" w:right="0" w:hanging="0"/>
              <w:jc w:val="righ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63,983</w:t>
            </w:r>
          </w:p>
        </w:tc>
        <w:tc>
          <w:tcPr>
            <w:tcW w:w="346" w:type="dxa"/>
            <w:tcBorders/>
            <w:shd w:fill="CCEEFF" w:val="clear"/>
            <w:vAlign w:val="center"/>
          </w:tcPr>
          <w:p>
            <w:pPr>
              <w:pStyle w:val="TableContents"/>
              <w:bidi w:val="0"/>
              <w:spacing w:before="0" w:after="0"/>
              <w:ind w:left="0" w:right="0" w:hanging="0"/>
              <w:jc w:val="righ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659,937</w:t>
            </w:r>
          </w:p>
        </w:tc>
        <w:tc>
          <w:tcPr>
            <w:tcW w:w="346" w:type="dxa"/>
            <w:tcBorders/>
            <w:shd w:fill="CCEEFF" w:val="clear"/>
            <w:vAlign w:val="center"/>
          </w:tcPr>
          <w:p>
            <w:pPr>
              <w:pStyle w:val="TableContents"/>
              <w:bidi w:val="0"/>
              <w:spacing w:before="0" w:after="0"/>
              <w:ind w:left="0" w:right="0" w:hanging="0"/>
              <w:jc w:val="righ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w:t>
            </w:r>
          </w:p>
        </w:tc>
      </w:tr>
      <w:tr>
        <w:trPr/>
        <w:tc>
          <w:tcPr>
            <w:tcW w:w="39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and administrative</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1,238,685</w:t>
            </w:r>
          </w:p>
        </w:tc>
        <w:tc>
          <w:tcPr>
            <w:tcW w:w="346" w:type="dxa"/>
            <w:tcBorders/>
            <w:vAlign w:val="center"/>
          </w:tcPr>
          <w:p>
            <w:pPr>
              <w:pStyle w:val="TableContents"/>
              <w:bidi w:val="0"/>
              <w:spacing w:before="0" w:after="0"/>
              <w:ind w:left="0" w:right="0" w:hanging="0"/>
              <w:jc w:val="righ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91,580</w:t>
            </w:r>
          </w:p>
        </w:tc>
        <w:tc>
          <w:tcPr>
            <w:tcW w:w="346" w:type="dxa"/>
            <w:tcBorders/>
            <w:vAlign w:val="center"/>
          </w:tcPr>
          <w:p>
            <w:pPr>
              <w:pStyle w:val="TableContents"/>
              <w:bidi w:val="0"/>
              <w:spacing w:before="0" w:after="0"/>
              <w:ind w:left="0" w:right="0" w:hanging="0"/>
              <w:jc w:val="righ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1,147,105</w:t>
            </w:r>
          </w:p>
        </w:tc>
        <w:tc>
          <w:tcPr>
            <w:tcW w:w="346" w:type="dxa"/>
            <w:tcBorders/>
            <w:vAlign w:val="center"/>
          </w:tcPr>
          <w:p>
            <w:pPr>
              <w:pStyle w:val="TableContents"/>
              <w:bidi w:val="0"/>
              <w:spacing w:before="0" w:after="0"/>
              <w:ind w:left="0" w:right="0" w:hanging="0"/>
              <w:jc w:val="righ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w:t>
            </w:r>
          </w:p>
        </w:tc>
      </w:tr>
      <w:tr>
        <w:trPr/>
        <w:tc>
          <w:tcPr>
            <w:tcW w:w="39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2,469,761</w:t>
            </w:r>
          </w:p>
        </w:tc>
        <w:tc>
          <w:tcPr>
            <w:tcW w:w="346" w:type="dxa"/>
            <w:tcBorders/>
            <w:shd w:fill="CCEEFF" w:val="clear"/>
            <w:vAlign w:val="center"/>
          </w:tcPr>
          <w:p>
            <w:pPr>
              <w:pStyle w:val="TableContents"/>
              <w:bidi w:val="0"/>
              <w:spacing w:before="0" w:after="0"/>
              <w:ind w:left="0" w:right="0" w:hanging="0"/>
              <w:jc w:val="righ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1,213,453</w:t>
            </w:r>
          </w:p>
        </w:tc>
        <w:tc>
          <w:tcPr>
            <w:tcW w:w="346" w:type="dxa"/>
            <w:tcBorders/>
            <w:shd w:fill="CCEEFF" w:val="clear"/>
            <w:vAlign w:val="center"/>
          </w:tcPr>
          <w:p>
            <w:pPr>
              <w:pStyle w:val="TableContents"/>
              <w:bidi w:val="0"/>
              <w:spacing w:before="0" w:after="0"/>
              <w:ind w:left="0" w:right="0" w:hanging="0"/>
              <w:jc w:val="righ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1,256,308</w:t>
            </w:r>
          </w:p>
        </w:tc>
        <w:tc>
          <w:tcPr>
            <w:tcW w:w="346" w:type="dxa"/>
            <w:tcBorders/>
            <w:shd w:fill="CCEEFF" w:val="clear"/>
            <w:vAlign w:val="center"/>
          </w:tcPr>
          <w:p>
            <w:pPr>
              <w:pStyle w:val="TableContents"/>
              <w:bidi w:val="0"/>
              <w:spacing w:before="0" w:after="0"/>
              <w:ind w:left="0" w:right="0" w:hanging="0"/>
              <w:jc w:val="righ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39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Rent expense</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153,598</w:t>
            </w:r>
          </w:p>
        </w:tc>
        <w:tc>
          <w:tcPr>
            <w:tcW w:w="346" w:type="dxa"/>
            <w:tcBorders/>
            <w:vAlign w:val="center"/>
          </w:tcPr>
          <w:p>
            <w:pPr>
              <w:pStyle w:val="TableContents"/>
              <w:bidi w:val="0"/>
              <w:spacing w:before="0" w:after="0"/>
              <w:ind w:left="0" w:right="0" w:hanging="0"/>
              <w:jc w:val="righ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48,943</w:t>
            </w:r>
          </w:p>
        </w:tc>
        <w:tc>
          <w:tcPr>
            <w:tcW w:w="346" w:type="dxa"/>
            <w:tcBorders/>
            <w:vAlign w:val="center"/>
          </w:tcPr>
          <w:p>
            <w:pPr>
              <w:pStyle w:val="TableContents"/>
              <w:bidi w:val="0"/>
              <w:spacing w:before="0" w:after="0"/>
              <w:ind w:left="0" w:right="0" w:hanging="0"/>
              <w:jc w:val="righ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104,655</w:t>
            </w:r>
          </w:p>
        </w:tc>
        <w:tc>
          <w:tcPr>
            <w:tcW w:w="346" w:type="dxa"/>
            <w:tcBorders/>
            <w:vAlign w:val="center"/>
          </w:tcPr>
          <w:p>
            <w:pPr>
              <w:pStyle w:val="TableContents"/>
              <w:bidi w:val="0"/>
              <w:spacing w:before="0" w:after="0"/>
              <w:ind w:left="0" w:right="0" w:hanging="0"/>
              <w:jc w:val="righ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r>
      <w:tr>
        <w:trPr/>
        <w:tc>
          <w:tcPr>
            <w:tcW w:w="39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Investor relations</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159,211</w:t>
            </w:r>
          </w:p>
        </w:tc>
        <w:tc>
          <w:tcPr>
            <w:tcW w:w="346" w:type="dxa"/>
            <w:tcBorders/>
            <w:shd w:fill="CCEEFF" w:val="clear"/>
            <w:vAlign w:val="center"/>
          </w:tcPr>
          <w:p>
            <w:pPr>
              <w:pStyle w:val="TableContents"/>
              <w:bidi w:val="0"/>
              <w:spacing w:before="0" w:after="0"/>
              <w:ind w:left="0" w:right="0" w:hanging="0"/>
              <w:jc w:val="right"/>
              <w:rPr/>
            </w:pPr>
            <w:r>
              <w:rPr/>
              <w:t> </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159,211</w:t>
            </w:r>
          </w:p>
        </w:tc>
        <w:tc>
          <w:tcPr>
            <w:tcW w:w="346" w:type="dxa"/>
            <w:tcBorders/>
            <w:shd w:fill="CCEEFF" w:val="clear"/>
            <w:vAlign w:val="center"/>
          </w:tcPr>
          <w:p>
            <w:pPr>
              <w:pStyle w:val="TableContents"/>
              <w:bidi w:val="0"/>
              <w:spacing w:before="0" w:after="0"/>
              <w:ind w:left="0" w:right="0" w:hanging="0"/>
              <w:jc w:val="righ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wages</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3,353,846</w:t>
            </w:r>
          </w:p>
        </w:tc>
        <w:tc>
          <w:tcPr>
            <w:tcW w:w="346" w:type="dxa"/>
            <w:tcBorders/>
            <w:vAlign w:val="center"/>
          </w:tcPr>
          <w:p>
            <w:pPr>
              <w:pStyle w:val="TableContents"/>
              <w:bidi w:val="0"/>
              <w:spacing w:before="0" w:after="0"/>
              <w:ind w:left="0" w:right="0" w:hanging="0"/>
              <w:jc w:val="right"/>
              <w:rPr/>
            </w:pPr>
            <w:r>
              <w:rPr/>
              <w:t> </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3,353,846</w:t>
            </w:r>
          </w:p>
        </w:tc>
        <w:tc>
          <w:tcPr>
            <w:tcW w:w="346" w:type="dxa"/>
            <w:tcBorders/>
            <w:vAlign w:val="center"/>
          </w:tcPr>
          <w:p>
            <w:pPr>
              <w:pStyle w:val="TableContents"/>
              <w:bidi w:val="0"/>
              <w:spacing w:before="0" w:after="0"/>
              <w:ind w:left="0" w:right="0" w:hanging="0"/>
              <w:jc w:val="righ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Licensing fee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26,249</w:t>
            </w:r>
          </w:p>
        </w:tc>
        <w:tc>
          <w:tcPr>
            <w:tcW w:w="346" w:type="dxa"/>
            <w:tcBorders/>
            <w:shd w:fill="CCEEFF" w:val="clear"/>
            <w:vAlign w:val="center"/>
          </w:tcPr>
          <w:p>
            <w:pPr>
              <w:pStyle w:val="TableContents"/>
              <w:bidi w:val="0"/>
              <w:spacing w:before="0" w:after="0"/>
              <w:ind w:left="0" w:right="0" w:hanging="0"/>
              <w:jc w:val="right"/>
              <w:rPr/>
            </w:pPr>
            <w:r>
              <w:rPr/>
              <w:t> </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26,249</w:t>
            </w:r>
          </w:p>
        </w:tc>
        <w:tc>
          <w:tcPr>
            <w:tcW w:w="346" w:type="dxa"/>
            <w:tcBorders/>
            <w:shd w:fill="CCEEFF" w:val="clear"/>
            <w:vAlign w:val="center"/>
          </w:tcPr>
          <w:p>
            <w:pPr>
              <w:pStyle w:val="TableContents"/>
              <w:bidi w:val="0"/>
              <w:spacing w:before="0" w:after="0"/>
              <w:ind w:left="0" w:right="0" w:hanging="0"/>
              <w:jc w:val="righ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Travel and entertainment</w:t>
            </w:r>
          </w:p>
        </w:tc>
        <w:tc>
          <w:tcPr>
            <w:tcW w:w="34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287,971</w:t>
            </w:r>
          </w:p>
        </w:tc>
        <w:tc>
          <w:tcPr>
            <w:tcW w:w="346" w:type="dxa"/>
            <w:tcBorders/>
            <w:vAlign w:val="center"/>
          </w:tcPr>
          <w:p>
            <w:pPr>
              <w:pStyle w:val="TableContents"/>
              <w:bidi w:val="0"/>
              <w:spacing w:before="0" w:after="0"/>
              <w:ind w:left="0" w:right="0" w:hanging="0"/>
              <w:jc w:val="righ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269,552</w:t>
            </w:r>
          </w:p>
        </w:tc>
        <w:tc>
          <w:tcPr>
            <w:tcW w:w="346" w:type="dxa"/>
            <w:tcBorders/>
            <w:vAlign w:val="center"/>
          </w:tcPr>
          <w:p>
            <w:pPr>
              <w:pStyle w:val="TableContents"/>
              <w:bidi w:val="0"/>
              <w:spacing w:before="0" w:after="0"/>
              <w:ind w:left="0" w:right="0" w:hanging="0"/>
              <w:jc w:val="righ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18,419</w:t>
            </w:r>
          </w:p>
        </w:tc>
        <w:tc>
          <w:tcPr>
            <w:tcW w:w="346" w:type="dxa"/>
            <w:tcBorders/>
            <w:vAlign w:val="center"/>
          </w:tcPr>
          <w:p>
            <w:pPr>
              <w:pStyle w:val="TableContents"/>
              <w:bidi w:val="0"/>
              <w:spacing w:before="0" w:after="0"/>
              <w:ind w:left="0" w:right="0" w:hanging="0"/>
              <w:jc w:val="righ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94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(8,769,544)</w:t>
            </w:r>
          </w:p>
        </w:tc>
        <w:tc>
          <w:tcPr>
            <w:tcW w:w="346" w:type="dxa"/>
            <w:tcBorders/>
            <w:shd w:fill="CCEEFF" w:val="clear"/>
            <w:vAlign w:val="center"/>
          </w:tcPr>
          <w:p>
            <w:pPr>
              <w:pStyle w:val="TableContents"/>
              <w:bidi w:val="0"/>
              <w:spacing w:before="0" w:after="0"/>
              <w:ind w:left="0" w:right="0" w:hanging="0"/>
              <w:jc w:val="righ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(1,687,511)</w:t>
            </w:r>
          </w:p>
        </w:tc>
        <w:tc>
          <w:tcPr>
            <w:tcW w:w="346" w:type="dxa"/>
            <w:tcBorders/>
            <w:shd w:fill="CCEEFF" w:val="clear"/>
            <w:vAlign w:val="center"/>
          </w:tcPr>
          <w:p>
            <w:pPr>
              <w:pStyle w:val="TableContents"/>
              <w:bidi w:val="0"/>
              <w:spacing w:before="0" w:after="0"/>
              <w:ind w:left="0" w:right="0" w:hanging="0"/>
              <w:jc w:val="righ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(7,082,033)</w:t>
            </w:r>
          </w:p>
        </w:tc>
        <w:tc>
          <w:tcPr>
            <w:tcW w:w="346" w:type="dxa"/>
            <w:tcBorders/>
            <w:shd w:fill="CCEEFF" w:val="clear"/>
            <w:vAlign w:val="center"/>
          </w:tcPr>
          <w:p>
            <w:pPr>
              <w:pStyle w:val="TableContents"/>
              <w:bidi w:val="0"/>
              <w:spacing w:before="0" w:after="0"/>
              <w:ind w:left="0" w:right="0" w:hanging="0"/>
              <w:jc w:val="righ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r>
      <w:tr>
        <w:trPr/>
        <w:tc>
          <w:tcPr>
            <w:tcW w:w="3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394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 </w:t>
            </w:r>
          </w:p>
        </w:tc>
        <w:tc>
          <w:tcPr>
            <w:tcW w:w="11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 </w:t>
            </w:r>
          </w:p>
        </w:tc>
        <w:tc>
          <w:tcPr>
            <w:tcW w:w="706" w:type="dxa"/>
            <w:tcBorders/>
            <w:shd w:fill="CCEEFF" w:val="clear"/>
            <w:vAlign w:val="center"/>
          </w:tcPr>
          <w:p>
            <w:pPr>
              <w:pStyle w:val="TableContents"/>
              <w:bidi w:val="0"/>
              <w:spacing w:before="0" w:after="0"/>
              <w:ind w:left="0" w:right="0" w:hanging="0"/>
              <w:jc w:val="right"/>
              <w:rPr/>
            </w:pPr>
            <w:r>
              <w:rPr/>
              <w:t>  ​</w:t>
            </w:r>
          </w:p>
        </w:tc>
      </w:tr>
      <w:tr>
        <w:trPr/>
        <w:tc>
          <w:tcPr>
            <w:tcW w:w="39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(17,750,724)</w:t>
            </w:r>
          </w:p>
        </w:tc>
        <w:tc>
          <w:tcPr>
            <w:tcW w:w="346" w:type="dxa"/>
            <w:tcBorders/>
            <w:vAlign w:val="center"/>
          </w:tcPr>
          <w:p>
            <w:pPr>
              <w:pStyle w:val="TableContents"/>
              <w:bidi w:val="0"/>
              <w:spacing w:before="0" w:after="0"/>
              <w:ind w:left="0" w:right="0" w:hanging="0"/>
              <w:jc w:val="right"/>
              <w:rPr/>
            </w:pPr>
            <w:r>
              <w:rPr/>
              <w:t>​</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(17,750,724)</w:t>
            </w:r>
          </w:p>
        </w:tc>
        <w:tc>
          <w:tcPr>
            <w:tcW w:w="34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0"/>
              <w:ind w:left="0" w:right="0" w:hanging="0"/>
              <w:jc w:val="righ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foreign currency transactions</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(13,592)</w:t>
            </w:r>
          </w:p>
        </w:tc>
        <w:tc>
          <w:tcPr>
            <w:tcW w:w="346" w:type="dxa"/>
            <w:tcBorders/>
            <w:vAlign w:val="center"/>
          </w:tcPr>
          <w:p>
            <w:pPr>
              <w:pStyle w:val="TableContents"/>
              <w:bidi w:val="0"/>
              <w:spacing w:before="0" w:after="0"/>
              <w:ind w:left="0" w:right="0" w:hanging="0"/>
              <w:jc w:val="righ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w:t>
            </w:r>
          </w:p>
        </w:tc>
        <w:tc>
          <w:tcPr>
            <w:tcW w:w="346" w:type="dxa"/>
            <w:tcBorders/>
            <w:vAlign w:val="center"/>
          </w:tcPr>
          <w:p>
            <w:pPr>
              <w:pStyle w:val="TableContents"/>
              <w:bidi w:val="0"/>
              <w:spacing w:before="0" w:after="0"/>
              <w:ind w:left="0" w:right="0" w:hanging="0"/>
              <w:jc w:val="righ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(9,002)</w:t>
            </w:r>
          </w:p>
        </w:tc>
        <w:tc>
          <w:tcPr>
            <w:tcW w:w="346" w:type="dxa"/>
            <w:tcBorders/>
            <w:vAlign w:val="center"/>
          </w:tcPr>
          <w:p>
            <w:pPr>
              <w:pStyle w:val="TableContents"/>
              <w:bidi w:val="0"/>
              <w:spacing w:before="0" w:after="0"/>
              <w:ind w:left="0" w:right="0" w:hanging="0"/>
              <w:jc w:val="righ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3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94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(26,533,829)</w:t>
            </w:r>
          </w:p>
        </w:tc>
        <w:tc>
          <w:tcPr>
            <w:tcW w:w="346" w:type="dxa"/>
            <w:tcBorders/>
            <w:vAlign w:val="center"/>
          </w:tcPr>
          <w:p>
            <w:pPr>
              <w:pStyle w:val="TableContents"/>
              <w:bidi w:val="0"/>
              <w:spacing w:before="0" w:after="0"/>
              <w:ind w:left="0" w:right="0" w:hanging="0"/>
              <w:jc w:val="righ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(1,692,101)</w:t>
            </w:r>
          </w:p>
        </w:tc>
        <w:tc>
          <w:tcPr>
            <w:tcW w:w="346" w:type="dxa"/>
            <w:tcBorders/>
            <w:vAlign w:val="center"/>
          </w:tcPr>
          <w:p>
            <w:pPr>
              <w:pStyle w:val="TableContents"/>
              <w:bidi w:val="0"/>
              <w:spacing w:before="0" w:after="0"/>
              <w:ind w:left="0" w:right="0" w:hanging="0"/>
              <w:jc w:val="righ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(24,841,728)</w:t>
            </w:r>
          </w:p>
        </w:tc>
        <w:tc>
          <w:tcPr>
            <w:tcW w:w="346" w:type="dxa"/>
            <w:tcBorders/>
            <w:vAlign w:val="center"/>
          </w:tcPr>
          <w:p>
            <w:pPr>
              <w:pStyle w:val="TableContents"/>
              <w:bidi w:val="0"/>
              <w:spacing w:before="0" w:after="0"/>
              <w:ind w:left="0" w:right="0" w:hanging="0"/>
              <w:jc w:val="righ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w:t>
            </w:r>
          </w:p>
        </w:tc>
      </w:tr>
      <w:tr>
        <w:trPr/>
        <w:tc>
          <w:tcPr>
            <w:tcW w:w="3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pPr>
            <w:r>
              <w:rPr/>
              <w:t>​</w:t>
            </w:r>
          </w:p>
        </w:tc>
      </w:tr>
      <w:tr>
        <w:trPr/>
        <w:tc>
          <w:tcPr>
            <w:tcW w:w="394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Preferred stock dividends</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(781,151)</w:t>
            </w:r>
          </w:p>
        </w:tc>
        <w:tc>
          <w:tcPr>
            <w:tcW w:w="346" w:type="dxa"/>
            <w:tcBorders/>
            <w:vAlign w:val="center"/>
          </w:tcPr>
          <w:p>
            <w:pPr>
              <w:pStyle w:val="TableContents"/>
              <w:bidi w:val="0"/>
              <w:spacing w:before="0" w:after="0"/>
              <w:ind w:left="0" w:right="0" w:hanging="0"/>
              <w:jc w:val="right"/>
              <w:rPr/>
            </w:pPr>
            <w:r>
              <w:rPr/>
              <w:t> </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(781,151)</w:t>
            </w:r>
          </w:p>
        </w:tc>
        <w:tc>
          <w:tcPr>
            <w:tcW w:w="346" w:type="dxa"/>
            <w:tcBorders/>
            <w:vAlign w:val="center"/>
          </w:tcPr>
          <w:p>
            <w:pPr>
              <w:pStyle w:val="TableContents"/>
              <w:bidi w:val="0"/>
              <w:spacing w:before="0" w:after="0"/>
              <w:ind w:left="0" w:right="0" w:hanging="0"/>
              <w:jc w:val="righ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94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attributable to common shareholders</w:t>
            </w:r>
          </w:p>
        </w:tc>
        <w:tc>
          <w:tcPr>
            <w:tcW w:w="346" w:type="dxa"/>
            <w:tcBorders/>
            <w:vAlign w:val="center"/>
          </w:tcPr>
          <w:p>
            <w:pPr>
              <w:pStyle w:val="TableContents"/>
              <w:bidi w:val="0"/>
              <w:spacing w:before="0" w:after="0"/>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(27,314,980)</w:t>
            </w:r>
          </w:p>
        </w:tc>
        <w:tc>
          <w:tcPr>
            <w:tcW w:w="346" w:type="dxa"/>
            <w:tcBorders/>
            <w:vAlign w:val="center"/>
          </w:tcPr>
          <w:p>
            <w:pPr>
              <w:pStyle w:val="TableContents"/>
              <w:bidi w:val="0"/>
              <w:spacing w:before="0" w:after="0"/>
              <w:ind w:left="0" w:right="0" w:hanging="0"/>
              <w:jc w:val="right"/>
              <w:rPr/>
            </w:pPr>
            <w:r>
              <w:rPr/>
              <w:t> </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(1,692,101)</w:t>
            </w:r>
          </w:p>
        </w:tc>
        <w:tc>
          <w:tcPr>
            <w:tcW w:w="346" w:type="dxa"/>
            <w:tcBorders/>
            <w:vAlign w:val="center"/>
          </w:tcPr>
          <w:p>
            <w:pPr>
              <w:pStyle w:val="TableContents"/>
              <w:bidi w:val="0"/>
              <w:spacing w:before="0" w:after="0"/>
              <w:ind w:left="0" w:right="0" w:hanging="0"/>
              <w:jc w:val="right"/>
              <w:rPr/>
            </w:pPr>
            <w:r>
              <w:rPr/>
              <w:t> </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(25,622,879)</w:t>
            </w:r>
          </w:p>
        </w:tc>
        <w:tc>
          <w:tcPr>
            <w:tcW w:w="346" w:type="dxa"/>
            <w:tcBorders/>
            <w:vAlign w:val="center"/>
          </w:tcPr>
          <w:p>
            <w:pPr>
              <w:pStyle w:val="TableContents"/>
              <w:bidi w:val="0"/>
              <w:spacing w:before="0" w:after="0"/>
              <w:ind w:left="0" w:right="0" w:hanging="0"/>
              <w:jc w:val="right"/>
              <w:rPr/>
            </w:pPr>
            <w:r>
              <w:rPr/>
              <w:t> </w:t>
            </w:r>
          </w:p>
        </w:tc>
        <w:tc>
          <w:tcPr>
            <w:tcW w:w="70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1,514</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incurred a net loss of $26,533,829 compared to a net loss of $1,692,101 for the six months ended May 31, 2025. An analysis of the increase in net loss of $24,841,728 including the major components of our results for the periods, is below.</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Business development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Business development expenses for the six months ended May 31, 2026, was $348,277, an increase of $348,277 compared to $Nil for the six months ended May 31, 2025. This increase is primarily driven by the Company’s engagement of external business development firms as part of its previous efforts to complete its go public transaction, and continued engagement with the capital market. Expenditure on business development is inclusive of stock-based compensation of $223,038 in connection with stock options and RSUs granted to business development consultants during the six months ended May 31, 2026. No such costs were incurred in the comparative period.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Exploration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Exploration expenses for the six months ended May 31, 2026, was $723,920, an increase of $659,937 compared to $63,983 for the six months ended May 31, 2025. The increase is primarily driven by activities undertaken by the Company on mineral rights assessments and other related work in connection with the Aurora Uranium Project, in connection with its ongoing environmental baseline studies in preparation for the commencement of a new exploration program.</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Office and administrative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Office and administrative expenses for the six months ended May 31, 2026, were $1,238,685, an increase of $1,147,105 compared to $91,580 for the six months ended May 31, 2025. This increase is primarily driven by expanded operations. This mainly includes 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increase of $536,476 in marketing expenses incurred by the Company for various advertising and promotional activities in connection with the Company’s recent listing, an increase of $241,466 in insurance expenses, and an increase of $283,640 in public company costs incurred for Nasdaq listing and other public company filing costs.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Professional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Professional fees for the six months ended May 31, 2026, were $2,469,761, an increase of $1,256,308 compared to $1,213,453 for the six months ended May 31, 2025. This increase is primarily driven by stock-based compensation of $1,292,686 in connection with stock options and RSUs granted during the six months ended May 31, 2026 to directors, and consultants of the Company during the six months ended May 31, 2026, with $731,157 attributable to directors’ compensation, $311,652 attributable to legal and other professional fees, and $249,877 attributable to consulting. The increase is partially offset by changes such as remuneration of the Company’s CEO and CFO being reported as salaries and wages upon de-SPAC, with the replacement of previous consulting agreements with executive employment agreements.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Rent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Rent expense for the six months ended May 31, 2026, was $153,598, an increase of $104,655 compared to $48,943 for the six months ended May 31, 2025. This increase is primarily driven by two new leases for new offices in Vancouver commencing November 2025 and New York commencing January 2026.</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Investor relations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Investor relations for the six months ended May 31, 2026, was $159,211, an increase of $159,211 compared to $Nil for the six months ended May 31, 2025. This increase is primarily driven by the Company’s engagement of an external investor relations firm in relation to becoming a public company. No such costs were incurred in the comparative period.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Salaries and wages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Salaries and wages for the six months ended May 31, 2026, was $3,353,846, an increase of $3,353,846 compared to $Nil for the six months ended May 31, 2025. This increase is mainly due to the hiring of a full-time Head of Licensing in November 2025, the Company entering into executive employment agreements with its CEO and CFO upon de-SPAC, and $3,100,910 in stock-based compensation in connection with stock options and RSUs granted during the six months ended May 31, 2026 to the CEO, CFO, and employees of the Company.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Licensing fee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Licensing fee expense for the six months ended May 31, 2026, was $26,249, an increase of $26,249 compared to $Nil for the six months ended May 31, 2025. This increase is due to the Company’s entrance into a patent license agreement with UNM Rainforest Innovations in June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Travel and entertainment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Travel and entertainment expense for the six months ended May 31, 2026, was $287,971, an increase of $18,419 compared to $269,552 for the six months ended May 31, 2025. This increase is due to a slight increase in executive and consultant travel in the current period.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 in fair value of warrant liability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Change in fair value of warrant liability for the six months May 31, 2026, was a loss of $17,750,724, an increase of $17,750,724 compared to $Nil for the six months ended May 31, 2025. This warrant liability relates to PIPE warrants of the Company which are puttable under certain circumstances. The increase in liability balance during the six months ended May 31, 2026 is mainly due to changes to inputs into the Monte Carlo valuation of the warrant liability, including the increasing valuation of shares of the Company, and the removal of a discount for lack of marketability due to the Company’s current public company status.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Results of Operations – For the Three Months Ended May 31, 2026 and 2025 (unaudited):</w:t>
      </w:r>
    </w:p>
    <w:tbl>
      <w:tblPr>
        <w:tblW w:w="9489" w:type="dxa"/>
        <w:jc w:val="left"/>
        <w:tblInd w:w="0" w:type="dxa"/>
        <w:tblLayout w:type="fixed"/>
        <w:tblCellMar>
          <w:top w:w="0" w:type="dxa"/>
          <w:left w:w="0" w:type="dxa"/>
          <w:bottom w:w="0" w:type="dxa"/>
          <w:right w:w="0" w:type="dxa"/>
        </w:tblCellMar>
      </w:tblPr>
      <w:tblGrid>
        <w:gridCol w:w="3916"/>
        <w:gridCol w:w="346"/>
        <w:gridCol w:w="1156"/>
        <w:gridCol w:w="346"/>
        <w:gridCol w:w="1171"/>
        <w:gridCol w:w="346"/>
        <w:gridCol w:w="1156"/>
        <w:gridCol w:w="346"/>
        <w:gridCol w:w="70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486660" cy="175260"/>
                      <wp:effectExtent l="0" t="0" r="0" b="0"/>
                      <wp:wrapNone/>
                      <wp:docPr id="265" name="Frame265"/>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6"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734060" cy="175260"/>
                      <wp:effectExtent l="0" t="0" r="0" b="0"/>
                      <wp:wrapNone/>
                      <wp:docPr id="267" name="Frame267"/>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743585" cy="175260"/>
                      <wp:effectExtent l="0" t="0" r="0" b="0"/>
                      <wp:wrapNone/>
                      <wp:docPr id="269" name="Frame269"/>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734060" cy="175260"/>
                      <wp:effectExtent l="0" t="0" r="0" b="0"/>
                      <wp:wrapNone/>
                      <wp:docPr id="271" name="Frame271"/>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48310" cy="175260"/>
                      <wp:effectExtent l="0" t="0" r="0" b="0"/>
                      <wp:wrapNone/>
                      <wp:docPr id="273" name="Frame27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1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w:t>
            </w:r>
          </w:p>
        </w:tc>
        <w:tc>
          <w:tcPr>
            <w:tcW w:w="346" w:type="dxa"/>
            <w:tcBorders/>
            <w:vAlign w:val="center"/>
          </w:tcPr>
          <w:p>
            <w:pPr>
              <w:pStyle w:val="TableContents"/>
              <w:bidi w:val="0"/>
              <w:spacing w:before="0" w:after="1"/>
              <w:ind w:left="0" w:right="0" w:hanging="0"/>
              <w:jc w:val="center"/>
              <w:rPr/>
            </w:pPr>
            <w:r>
              <w:rPr/>
              <w:t>  ​ ​ ​</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w:t>
            </w:r>
          </w:p>
        </w:tc>
        <w:tc>
          <w:tcPr>
            <w:tcW w:w="346" w:type="dxa"/>
            <w:tcBorders/>
            <w:vAlign w:val="center"/>
          </w:tcPr>
          <w:p>
            <w:pPr>
              <w:pStyle w:val="TableContents"/>
              <w:bidi w:val="0"/>
              <w:spacing w:before="0" w:after="1"/>
              <w:ind w:left="0" w:right="0" w:hanging="0"/>
              <w:jc w:val="center"/>
              <w:rPr/>
            </w:pPr>
            <w:r>
              <w:rPr/>
              <w:t>  ​ ​ ​</w:t>
            </w:r>
          </w:p>
        </w:tc>
        <w:tc>
          <w:tcPr>
            <w:tcW w:w="11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06" w:type="dxa"/>
            <w:tcBorders/>
            <w:vAlign w:val="center"/>
          </w:tcPr>
          <w:p>
            <w:pPr>
              <w:pStyle w:val="TableContents"/>
              <w:bidi w:val="0"/>
              <w:spacing w:before="0" w:after="1"/>
              <w:ind w:left="0" w:right="0" w:hanging="0"/>
              <w:jc w:val="center"/>
              <w:rPr/>
            </w:pPr>
            <w:r>
              <w:rPr/>
              <w:t>​</w:t>
            </w:r>
          </w:p>
        </w:tc>
      </w:tr>
      <w:tr>
        <w:trPr/>
        <w:tc>
          <w:tcPr>
            <w:tcW w:w="3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 </w:t>
            </w:r>
          </w:p>
        </w:tc>
        <w:tc>
          <w:tcPr>
            <w:tcW w:w="346" w:type="dxa"/>
            <w:tcBorders/>
            <w:vAlign w:val="center"/>
          </w:tcPr>
          <w:p>
            <w:pPr>
              <w:pStyle w:val="TableContents"/>
              <w:bidi w:val="0"/>
              <w:spacing w:before="0" w:after="1"/>
              <w:ind w:left="0" w:right="0" w:hanging="0"/>
              <w:jc w:val="center"/>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months ended</w:t>
            </w:r>
          </w:p>
        </w:tc>
        <w:tc>
          <w:tcPr>
            <w:tcW w:w="346" w:type="dxa"/>
            <w:tcBorders/>
            <w:vAlign w:val="center"/>
          </w:tcPr>
          <w:p>
            <w:pPr>
              <w:pStyle w:val="TableContents"/>
              <w:bidi w:val="0"/>
              <w:spacing w:before="0" w:after="1"/>
              <w:ind w:left="0" w:right="0" w:hanging="0"/>
              <w:jc w:val="center"/>
              <w:rPr/>
            </w:pPr>
            <w:r>
              <w:rPr/>
              <w:t>​</w:t>
            </w:r>
          </w:p>
        </w:tc>
        <w:tc>
          <w:tcPr>
            <w:tcW w:w="11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r>
      <w:tr>
        <w:trPr/>
        <w:tc>
          <w:tcPr>
            <w:tcW w:w="391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346" w:type="dxa"/>
            <w:tcBorders/>
            <w:vAlign w:val="center"/>
          </w:tcPr>
          <w:p>
            <w:pPr>
              <w:pStyle w:val="TableContents"/>
              <w:bidi w:val="0"/>
              <w:spacing w:before="0" w:after="1"/>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46" w:type="dxa"/>
            <w:tcBorders/>
            <w:vAlign w:val="center"/>
          </w:tcPr>
          <w:p>
            <w:pPr>
              <w:pStyle w:val="TableContents"/>
              <w:bidi w:val="0"/>
              <w:spacing w:before="0" w:after="1"/>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May 31, 2025</w:t>
            </w:r>
          </w:p>
        </w:tc>
        <w:tc>
          <w:tcPr>
            <w:tcW w:w="346" w:type="dxa"/>
            <w:tcBorders/>
            <w:vAlign w:val="center"/>
          </w:tcPr>
          <w:p>
            <w:pPr>
              <w:pStyle w:val="TableContents"/>
              <w:bidi w:val="0"/>
              <w:spacing w:before="0" w:after="1"/>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center"/>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5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center"/>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center"/>
              <w:rPr/>
            </w:pPr>
            <w:r>
              <w:rPr/>
              <w:t>​</w:t>
            </w:r>
          </w:p>
        </w:tc>
        <w:tc>
          <w:tcPr>
            <w:tcW w:w="115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w:t>
            </w:r>
          </w:p>
        </w:tc>
      </w:tr>
      <w:tr>
        <w:trPr/>
        <w:tc>
          <w:tcPr>
            <w:tcW w:w="39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Business development</w:t>
            </w:r>
          </w:p>
        </w:tc>
        <w:tc>
          <w:tcPr>
            <w:tcW w:w="346" w:type="dxa"/>
            <w:tcBorders/>
            <w:shd w:fill="CCEEFF" w:val="clear"/>
            <w:vAlign w:val="center"/>
          </w:tcPr>
          <w:p>
            <w:pPr>
              <w:pStyle w:val="TableContents"/>
              <w:bidi w:val="0"/>
              <w:spacing w:before="0" w:after="1"/>
              <w:ind w:left="0" w:right="0" w:hanging="0"/>
              <w:jc w:val="center"/>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267,827</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267,827</w:t>
            </w:r>
          </w:p>
        </w:tc>
        <w:tc>
          <w:tcPr>
            <w:tcW w:w="346" w:type="dxa"/>
            <w:tcBorders/>
            <w:shd w:fill="CCEEFF" w:val="clear"/>
            <w:vAlign w:val="center"/>
          </w:tcPr>
          <w:p>
            <w:pPr>
              <w:pStyle w:val="TableContents"/>
              <w:bidi w:val="0"/>
              <w:spacing w:before="0" w:after="1"/>
              <w:ind w:left="0" w:right="0" w:hanging="0"/>
              <w:jc w:val="center"/>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1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and depreciation</w:t>
            </w:r>
          </w:p>
        </w:tc>
        <w:tc>
          <w:tcPr>
            <w:tcW w:w="346" w:type="dxa"/>
            <w:tcBorders/>
            <w:vAlign w:val="center"/>
          </w:tcPr>
          <w:p>
            <w:pPr>
              <w:pStyle w:val="TableContents"/>
              <w:bidi w:val="0"/>
              <w:spacing w:before="0" w:after="1"/>
              <w:ind w:left="0" w:right="0" w:hanging="0"/>
              <w:jc w:val="center"/>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5,602</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5,602</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Exploration expenses</w:t>
            </w:r>
          </w:p>
        </w:tc>
        <w:tc>
          <w:tcPr>
            <w:tcW w:w="346" w:type="dxa"/>
            <w:tcBorders/>
            <w:shd w:fill="CCEEFF" w:val="clear"/>
            <w:vAlign w:val="center"/>
          </w:tcPr>
          <w:p>
            <w:pPr>
              <w:pStyle w:val="TableContents"/>
              <w:bidi w:val="0"/>
              <w:spacing w:before="0" w:after="1"/>
              <w:ind w:left="0" w:right="0" w:hanging="0"/>
              <w:jc w:val="center"/>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496,419</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56,678</w:t>
            </w:r>
          </w:p>
        </w:tc>
        <w:tc>
          <w:tcPr>
            <w:tcW w:w="346" w:type="dxa"/>
            <w:tcBorders/>
            <w:shd w:fill="CCEEFF" w:val="clear"/>
            <w:vAlign w:val="center"/>
          </w:tcPr>
          <w:p>
            <w:pPr>
              <w:pStyle w:val="TableContents"/>
              <w:bidi w:val="0"/>
              <w:spacing w:before="0" w:after="1"/>
              <w:ind w:left="0" w:right="0" w:hanging="0"/>
              <w:jc w:val="center"/>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439,741</w:t>
            </w:r>
          </w:p>
        </w:tc>
        <w:tc>
          <w:tcPr>
            <w:tcW w:w="346" w:type="dxa"/>
            <w:tcBorders/>
            <w:shd w:fill="CCEEFF" w:val="clear"/>
            <w:vAlign w:val="center"/>
          </w:tcPr>
          <w:p>
            <w:pPr>
              <w:pStyle w:val="TableContents"/>
              <w:bidi w:val="0"/>
              <w:spacing w:before="0" w:after="1"/>
              <w:ind w:left="0" w:right="0" w:hanging="0"/>
              <w:jc w:val="center"/>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w:t>
            </w:r>
          </w:p>
        </w:tc>
      </w:tr>
      <w:tr>
        <w:trPr/>
        <w:tc>
          <w:tcPr>
            <w:tcW w:w="391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Office and administrative</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831,489</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60,539</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770,950</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1,273</w:t>
            </w:r>
          </w:p>
        </w:tc>
      </w:tr>
      <w:tr>
        <w:trPr/>
        <w:tc>
          <w:tcPr>
            <w:tcW w:w="39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2,010,841</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710,540</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1,300,301</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391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 expense</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80,856</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22,483</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58,373</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r>
      <w:tr>
        <w:trPr/>
        <w:tc>
          <w:tcPr>
            <w:tcW w:w="39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Investor relations</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69,390</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69,390</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1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Salaries and wages</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3,295,905</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3,295,905</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Licensing fee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12,603</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12,603</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1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Travel and entertainment</w:t>
            </w:r>
          </w:p>
        </w:tc>
        <w:tc>
          <w:tcPr>
            <w:tcW w:w="346" w:type="dxa"/>
            <w:tcBorders/>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236,509</w:t>
            </w:r>
          </w:p>
        </w:tc>
        <w:tc>
          <w:tcPr>
            <w:tcW w:w="346" w:type="dxa"/>
            <w:tcBorders/>
            <w:vAlign w:val="center"/>
          </w:tcPr>
          <w:p>
            <w:pPr>
              <w:pStyle w:val="TableContents"/>
              <w:bidi w:val="0"/>
              <w:spacing w:before="0" w:after="1"/>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170,706</w:t>
            </w:r>
          </w:p>
        </w:tc>
        <w:tc>
          <w:tcPr>
            <w:tcW w:w="346" w:type="dxa"/>
            <w:tcBorders/>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65,803</w:t>
            </w:r>
          </w:p>
        </w:tc>
        <w:tc>
          <w:tcPr>
            <w:tcW w:w="346" w:type="dxa"/>
            <w:tcBorders/>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391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(7,307,441)</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(1,020,946)</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(6,286,495)</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w:t>
            </w:r>
          </w:p>
        </w:tc>
      </w:tr>
      <w:tr>
        <w:trPr/>
        <w:tc>
          <w:tcPr>
            <w:tcW w:w="3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pPr>
            <w:r>
              <w:rPr/>
              <w:t>​</w:t>
            </w:r>
          </w:p>
        </w:tc>
      </w:tr>
      <w:tr>
        <w:trPr/>
        <w:tc>
          <w:tcPr>
            <w:tcW w:w="391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pPr>
            <w:r>
              <w:rPr/>
              <w:t>  ​</w:t>
            </w:r>
          </w:p>
        </w:tc>
      </w:tr>
      <w:tr>
        <w:trPr/>
        <w:tc>
          <w:tcPr>
            <w:tcW w:w="391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(17,750,724)</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(17,750,724)</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1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foreign currency transactions</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(3,813)</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(4,160)</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39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91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(25,061,947)</w:t>
            </w:r>
          </w:p>
        </w:tc>
        <w:tc>
          <w:tcPr>
            <w:tcW w:w="346" w:type="dxa"/>
            <w:tcBorders/>
            <w:vAlign w:val="center"/>
          </w:tcPr>
          <w:p>
            <w:pPr>
              <w:pStyle w:val="TableContents"/>
              <w:bidi w:val="0"/>
              <w:spacing w:before="0" w:after="1"/>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(1,025,106)</w:t>
            </w:r>
          </w:p>
        </w:tc>
        <w:tc>
          <w:tcPr>
            <w:tcW w:w="346" w:type="dxa"/>
            <w:tcBorders/>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(24,036,841)</w:t>
            </w:r>
          </w:p>
        </w:tc>
        <w:tc>
          <w:tcPr>
            <w:tcW w:w="346" w:type="dxa"/>
            <w:tcBorders/>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2,345</w:t>
            </w:r>
          </w:p>
        </w:tc>
      </w:tr>
      <w:tr>
        <w:trPr/>
        <w:tc>
          <w:tcPr>
            <w:tcW w:w="39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pPr>
            <w:r>
              <w:rPr/>
              <w:t>​</w:t>
            </w:r>
          </w:p>
        </w:tc>
      </w:tr>
      <w:tr>
        <w:trPr/>
        <w:tc>
          <w:tcPr>
            <w:tcW w:w="391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Preferred stock dividends</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(748,603)</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(748,603)</w:t>
            </w:r>
          </w:p>
        </w:tc>
        <w:tc>
          <w:tcPr>
            <w:tcW w:w="34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9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91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attributable to common stockholders</w:t>
            </w:r>
          </w:p>
        </w:tc>
        <w:tc>
          <w:tcPr>
            <w:tcW w:w="346" w:type="dxa"/>
            <w:tcBorders/>
            <w:vAlign w:val="center"/>
          </w:tcPr>
          <w:p>
            <w:pPr>
              <w:pStyle w:val="TableContents"/>
              <w:bidi w:val="0"/>
              <w:spacing w:before="0" w:after="1"/>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(25,810,550)</w:t>
            </w:r>
          </w:p>
        </w:tc>
        <w:tc>
          <w:tcPr>
            <w:tcW w:w="346" w:type="dxa"/>
            <w:tcBorders/>
            <w:vAlign w:val="center"/>
          </w:tcPr>
          <w:p>
            <w:pPr>
              <w:pStyle w:val="TableContents"/>
              <w:bidi w:val="0"/>
              <w:spacing w:before="0" w:after="1"/>
              <w:ind w:left="0" w:right="0" w:hanging="0"/>
              <w:jc w:val="left"/>
              <w:rPr/>
            </w:pPr>
            <w:r>
              <w:rPr/>
              <w:t> </w:t>
            </w:r>
          </w:p>
        </w:tc>
        <w:tc>
          <w:tcPr>
            <w:tcW w:w="11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(1,025,106)</w:t>
            </w:r>
          </w:p>
        </w:tc>
        <w:tc>
          <w:tcPr>
            <w:tcW w:w="346" w:type="dxa"/>
            <w:tcBorders/>
            <w:vAlign w:val="center"/>
          </w:tcPr>
          <w:p>
            <w:pPr>
              <w:pStyle w:val="TableContents"/>
              <w:bidi w:val="0"/>
              <w:spacing w:before="0" w:after="1"/>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(24,785,444)</w:t>
            </w:r>
          </w:p>
        </w:tc>
        <w:tc>
          <w:tcPr>
            <w:tcW w:w="346" w:type="dxa"/>
            <w:tcBorders/>
            <w:vAlign w:val="center"/>
          </w:tcPr>
          <w:p>
            <w:pPr>
              <w:pStyle w:val="TableContents"/>
              <w:bidi w:val="0"/>
              <w:spacing w:before="0" w:after="1"/>
              <w:ind w:left="0" w:right="0" w:hanging="0"/>
              <w:jc w:val="left"/>
              <w:rPr/>
            </w:pPr>
            <w:r>
              <w:rPr/>
              <w:t> </w:t>
            </w:r>
          </w:p>
        </w:tc>
        <w:tc>
          <w:tcPr>
            <w:tcW w:w="70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2,418</w:t>
            </w:r>
          </w:p>
        </w:tc>
      </w:tr>
    </w:tbl>
    <w:p>
      <w:pPr>
        <w:pStyle w:val="TextBody"/>
        <w:bidi w:val="0"/>
        <w:spacing w:before="0" w:after="240"/>
        <w:ind w:left="0" w:right="0" w:hanging="0"/>
        <w:jc w:val="both"/>
        <w:rPr>
          <w:shd w:fill="FFFF00" w:val="clear"/>
        </w:rPr>
      </w:pPr>
      <w:r>
        <w:rPr>
          <w:shd w:fill="FFFF00" w:val="clea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May 31, 2026, we incurred a net loss of $25,061,947 compared to a net loss of $1,025,106 for the three months ended May 31, 2025. An analysis of the increase in net loss of $24,036,841 including the major components of our results for the periods, is below.</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Business development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Business development expenses for the three months ended May 31, 2026, was $267,827, an increase of $267,827 compared to $Nil for the three months ended May 31, 2025. This increase is primarily driven by the Company’s engagement of external business development firms as part of its previous efforts to complete its go public transaction, and continued engagement with the capital market. Expenditure on business development is inclusive of stock-based compensation of $223,038 in connection with stock options and RSUs granted to business development consultants during the three months ended May 31, 2026. No such costs were incurred in the comparative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Exploration</w:t>
      </w:r>
      <w:r>
        <w:rPr>
          <w:rFonts w:ascii="Times New Roman;Times;serif" w:hAnsi="Times New Roman;Times;serif"/>
          <w:sz w:val="20"/>
        </w:rPr>
        <w:t xml:space="preserve"> </w:t>
      </w:r>
      <w:r>
        <w:rPr>
          <w:rFonts w:ascii="Times New Roman;Times;serif" w:hAnsi="Times New Roman;Times;serif"/>
          <w:b/>
          <w:i/>
          <w:sz w:val="20"/>
        </w:rPr>
        <w:t>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Exploration expenses for the three months ended May 31, 2026, was $496,419, an increase of $439,741 compared to $56,678 for the three months ended May 31, 2025. The increase is primarily driven by activities undertaken by the Company on mineral rights assessments and other related work in connection with the Aurora Uranium Project, in connection with its ongoing environmental baseline studies in preparation for the commencement of a new exploration program.</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Office and administrative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Office and administrative expenses for the three months ended May 31, 2026, were $831,489, an increase of $770,950 compared to $60,539 for the three months ended May 31, 2025. This increase is primarily driven by expanded operations. This mainly includes an increase of $305,360 in marketing expenses incurred by the Company for various advertising and promotional activities in connection with the Company’s recent listing, an increase of $224,900 in insurance expenses, and an increase of $225,282 in public company costs incurred for Nasdaq listing and other public company filing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Professional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Professional fees for the three months ended May 31, 2026, were $2,010,841, an increase of $1,300,301 compared to $710,540 for the three months ended May 31, 2025. This increase is primarily driven by stock-based compensation of $1,292,686 in connection with stock options and RSUs granted during the three months ended May 31, 2026 to directors, and consultants of the Company during the three months ended May 31, 2026, with $731,157 attributable to directors’ compensation, $311,652 attributable to legal and other professional fees, and $249,877 attributable to consulting.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Rent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Rent expense for the three months ended May 31, 2026, was $80,856, an increase of $58,373 compared to $22,483 for the three months ended May 31, 2025. This increase is primarily driven by two new leases for new offices in Vancouver commencing November 2025 and New York commencing January 2026.</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Investor relations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Investor relations for the three months ended May 31, 2026, was $69,390, an increase of $69,390 compared to $Nil for the three months ended May 31, 2025. This increase is primarily driven by the Company’s engagement of an external investor relations firm in relation to becoming a public company. No such costs were incurred in the comparative period.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Salaries and wages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Salaries and wages for the three months ended May 31, 2026, was $3,295,905, an increase of $3,295,905 compared to $Nil for the three months ended May 31, 2025. This increase is mainly due to the hiring of a full-time Head of Licensing in November 2025, the Company entering into executive employment agreements with its CEO and CFO upon de-SPAC, and $3,100,910 in stock-based compensation in connection with the stock options and RSUs granted during the three months ended May 31, 2026 to the CEO, CFO, and employees of the Company.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Licensing fee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Licensing fee expense for the three months ended May 31, 2026, was $12,603, an increase of $12,603 compared to $Nil for the three months ended May 31, 2025. This increase is due to the Company’s entrance into a patent license agreement with UNM Rainforest Innovations in June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Travel and entertainment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Travel and entertainment expense for the three months ended May 31, 2026, was $236,509, an increase of $65,803 compared to $170,706 for the three months ended May 31, 2025. This increase is mainly driven by increased travel in the current period compared to the prior quarter.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 in fair value of warrant liability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Change in fair value of warrant liability for the three months May 31, 2026, was a loss of $17,750,724, an increase of $17,750,724 compared to $Nil for the three months ended May 31, 2025. This warrant liability relates to PIPE warrants of the Company which are puttable under certain circumstances. The increase in liability balance during the three months ended May 31, 2026 is mainly due to changes to inputs into the Monte Carlo valuation of the warrant liability, including the increasing valuation of shares of the Company, and the removal of a discount for lack of marketability due to the Company’s current public company status.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Liquidity and Capital Resources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continually monitor and manage cash flow to assess the liquidity necessary to fund operations and capital projects. We manage our capital resources and adjust them to take into account changes in economic conditions and the risk characteristics of the underlying assets. To maintain or adjust our capital resources, we may, where necessary, control the amount of working capital, pursue financing or manage the timing of our capital expenditures. As of May 31, 2026, we had a working capital of $27,164,690 (current assets of $28,989,912, less current liabilities of $1,825,222). As of November 30, 2025, we had a working capital of $621,306 (current assets of $1,464,825, less current liabilities of $843,519).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continuing operations are dependent upon our ability to obtain debt or equity financing until such time that we achieve profitable operations. There can be no assurance that we will gain adequate market acceptance for our products or be able to generate sufficient gross margins to reach profitability.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Since our inception, we have incurred operating losses and have experienced negative cash flows from operations. While the Company had a positive working capital as at May 31, 2026, the Company expects to expend significant portion of its assets to fund ongoing operations and planned exploration activities, and is currently pre-revenue. Management assessed the Company currently has cash resources that could sustain operations for the next 21 months, as a result of recently completed financings.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May 31, 2026, we had $28,282,050 in cash, including restricted cash. We are actively managing current cash flows until such time that we are profitable.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chart below highlights our cash flows for the period indicated:</w:t>
      </w:r>
    </w:p>
    <w:tbl>
      <w:tblPr>
        <w:tblW w:w="8525" w:type="dxa"/>
        <w:jc w:val="left"/>
        <w:tblInd w:w="0" w:type="dxa"/>
        <w:tblLayout w:type="fixed"/>
        <w:tblCellMar>
          <w:top w:w="0" w:type="dxa"/>
          <w:left w:w="0" w:type="dxa"/>
          <w:bottom w:w="0" w:type="dxa"/>
          <w:right w:w="0" w:type="dxa"/>
        </w:tblCellMar>
      </w:tblPr>
      <w:tblGrid>
        <w:gridCol w:w="3946"/>
        <w:gridCol w:w="346"/>
        <w:gridCol w:w="1921"/>
        <w:gridCol w:w="346"/>
        <w:gridCol w:w="1966"/>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505710" cy="175260"/>
                      <wp:effectExtent l="0" t="0" r="0" b="0"/>
                      <wp:wrapNone/>
                      <wp:docPr id="274" name="Frame274"/>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219835" cy="175260"/>
                      <wp:effectExtent l="0" t="0" r="0" b="0"/>
                      <wp:wrapNone/>
                      <wp:docPr id="276" name="Frame276"/>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248410" cy="175260"/>
                      <wp:effectExtent l="0" t="0" r="0" b="0"/>
                      <wp:wrapNone/>
                      <wp:docPr id="278" name="Frame278"/>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9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c>
          <w:tcPr>
            <w:tcW w:w="346" w:type="dxa"/>
            <w:tcBorders/>
            <w:vAlign w:val="center"/>
          </w:tcPr>
          <w:p>
            <w:pPr>
              <w:pStyle w:val="TableContents"/>
              <w:bidi w:val="0"/>
              <w:spacing w:before="0" w:after="0"/>
              <w:ind w:left="0" w:right="0" w:hanging="0"/>
              <w:jc w:val="left"/>
              <w:rPr/>
            </w:pPr>
            <w:r>
              <w:rPr/>
              <w:t>  ​ ​ ​</w:t>
            </w:r>
          </w:p>
        </w:tc>
        <w:tc>
          <w:tcPr>
            <w:tcW w:w="19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3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31, 2026</w:t>
            </w:r>
          </w:p>
        </w:tc>
        <w:tc>
          <w:tcPr>
            <w:tcW w:w="34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31, 2025</w:t>
            </w:r>
          </w:p>
        </w:tc>
      </w:tr>
      <w:tr>
        <w:trPr/>
        <w:tc>
          <w:tcPr>
            <w:tcW w:w="39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46" w:type="dxa"/>
            <w:tcBorders/>
            <w:shd w:fill="CCEEFF" w:val="clear"/>
            <w:vAlign w:val="center"/>
          </w:tcPr>
          <w:p>
            <w:pPr>
              <w:pStyle w:val="TableContents"/>
              <w:bidi w:val="0"/>
              <w:spacing w:before="0" w:after="0"/>
              <w:ind w:left="0" w:right="0" w:hanging="0"/>
              <w:jc w:val="left"/>
              <w:rPr/>
            </w:pPr>
            <w:r>
              <w:rPr/>
              <w:t>​</w:t>
            </w:r>
          </w:p>
        </w:tc>
        <w:tc>
          <w:tcPr>
            <w:tcW w:w="192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6" w:type="dxa"/>
            <w:tcBorders/>
            <w:shd w:fill="CCEEFF" w:val="clear"/>
            <w:vAlign w:val="center"/>
          </w:tcPr>
          <w:p>
            <w:pPr>
              <w:pStyle w:val="TableContents"/>
              <w:bidi w:val="0"/>
              <w:spacing w:before="0" w:after="0"/>
              <w:ind w:left="0" w:right="0" w:hanging="0"/>
              <w:jc w:val="center"/>
              <w:rPr/>
            </w:pPr>
            <w:r>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rPr/>
            </w:pPr>
            <w:r>
              <w:rPr/>
              <w:t> </w:t>
            </w:r>
          </w:p>
        </w:tc>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(4,711,877)</w:t>
            </w:r>
          </w:p>
        </w:tc>
        <w:tc>
          <w:tcPr>
            <w:tcW w:w="346" w:type="dxa"/>
            <w:tcBorders/>
            <w:vAlign w:val="center"/>
          </w:tcPr>
          <w:p>
            <w:pPr>
              <w:pStyle w:val="TableContents"/>
              <w:bidi w:val="0"/>
              <w:spacing w:before="0" w:after="0"/>
              <w:ind w:left="0" w:right="0" w:hanging="0"/>
              <w:jc w:val="left"/>
              <w:rPr/>
            </w:pPr>
            <w:r>
              <w:rPr/>
              <w:t> </w:t>
            </w:r>
          </w:p>
        </w:tc>
        <w:tc>
          <w:tcPr>
            <w:tcW w:w="1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(1,944,253)</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1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63,215</w:t>
            </w:r>
          </w:p>
        </w:tc>
        <w:tc>
          <w:tcPr>
            <w:tcW w:w="346" w:type="dxa"/>
            <w:tcBorders/>
            <w:shd w:fill="CCEEFF" w:val="clear"/>
            <w:vAlign w:val="center"/>
          </w:tcPr>
          <w:p>
            <w:pPr>
              <w:pStyle w:val="TableContents"/>
              <w:bidi w:val="0"/>
              <w:spacing w:before="0" w:after="0"/>
              <w:ind w:left="0" w:right="0" w:hanging="0"/>
              <w:jc w:val="left"/>
              <w:rPr/>
            </w:pPr>
            <w:r>
              <w:rPr/>
              <w:t> </w:t>
            </w:r>
          </w:p>
        </w:tc>
        <w:tc>
          <w:tcPr>
            <w:tcW w:w="1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(600,000)</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rPr/>
            </w:pPr>
            <w:r>
              <w:rPr/>
              <w:t> </w:t>
            </w:r>
          </w:p>
        </w:tc>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31,641,757</w:t>
            </w:r>
          </w:p>
        </w:tc>
        <w:tc>
          <w:tcPr>
            <w:tcW w:w="346" w:type="dxa"/>
            <w:tcBorders/>
            <w:vAlign w:val="center"/>
          </w:tcPr>
          <w:p>
            <w:pPr>
              <w:pStyle w:val="TableContents"/>
              <w:bidi w:val="0"/>
              <w:spacing w:before="0" w:after="0"/>
              <w:ind w:left="0" w:right="0" w:hanging="0"/>
              <w:jc w:val="left"/>
              <w:rPr/>
            </w:pPr>
            <w:r>
              <w:rPr/>
              <w:t> </w:t>
            </w:r>
          </w:p>
        </w:tc>
        <w:tc>
          <w:tcPr>
            <w:tcW w:w="1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7,438,301</w:t>
            </w:r>
          </w:p>
        </w:tc>
      </w:tr>
      <w:tr>
        <w:trPr/>
        <w:tc>
          <w:tcPr>
            <w:tcW w:w="3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Effects of foreign currency transactions on cash</w:t>
            </w:r>
          </w:p>
        </w:tc>
        <w:tc>
          <w:tcPr>
            <w:tcW w:w="346" w:type="dxa"/>
            <w:tcBorders/>
            <w:shd w:fill="CCEEFF" w:val="clear"/>
            <w:vAlign w:val="center"/>
          </w:tcPr>
          <w:p>
            <w:pPr>
              <w:pStyle w:val="TableContents"/>
              <w:bidi w:val="0"/>
              <w:spacing w:before="0" w:after="0"/>
              <w:ind w:left="0" w:right="0" w:hanging="0"/>
              <w:jc w:val="left"/>
              <w:rPr/>
            </w:pPr>
            <w:r>
              <w:rPr/>
              <w:t> </w:t>
            </w:r>
          </w:p>
        </w:tc>
        <w:tc>
          <w:tcPr>
            <w:tcW w:w="1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(12,973)</w:t>
            </w:r>
          </w:p>
        </w:tc>
        <w:tc>
          <w:tcPr>
            <w:tcW w:w="346" w:type="dxa"/>
            <w:tcBorders/>
            <w:shd w:fill="CCEEFF" w:val="clear"/>
            <w:vAlign w:val="center"/>
          </w:tcPr>
          <w:p>
            <w:pPr>
              <w:pStyle w:val="TableContents"/>
              <w:bidi w:val="0"/>
              <w:spacing w:before="0" w:after="0"/>
              <w:ind w:left="0" w:right="0" w:hanging="0"/>
              <w:jc w:val="left"/>
              <w:rPr/>
            </w:pPr>
            <w:r>
              <w:rPr/>
              <w:t> </w:t>
            </w:r>
          </w:p>
        </w:tc>
        <w:tc>
          <w:tcPr>
            <w:tcW w:w="1966" w:type="dxa"/>
            <w:tcBorders/>
            <w:shd w:fill="CCEEFF" w:val="clear"/>
            <w:vAlign w:val="center"/>
          </w:tcPr>
          <w:p>
            <w:pPr>
              <w:pStyle w:val="TableContents"/>
              <w:bidi w:val="0"/>
              <w:spacing w:before="0" w:after="0"/>
              <w:ind w:left="0" w:right="0" w:hanging="0"/>
              <w:jc w:val="right"/>
              <w:rPr/>
            </w:pPr>
            <w:r>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cash</w:t>
            </w:r>
          </w:p>
        </w:tc>
        <w:tc>
          <w:tcPr>
            <w:tcW w:w="346" w:type="dxa"/>
            <w:tcBorders/>
            <w:vAlign w:val="center"/>
          </w:tcPr>
          <w:p>
            <w:pPr>
              <w:pStyle w:val="TableContents"/>
              <w:bidi w:val="0"/>
              <w:spacing w:before="0" w:after="0"/>
              <w:ind w:left="0" w:right="0" w:hanging="0"/>
              <w:jc w:val="left"/>
              <w:rPr/>
            </w:pPr>
            <w:r>
              <w:rPr/>
              <w:t> </w:t>
            </w:r>
          </w:p>
        </w:tc>
        <w:tc>
          <w:tcPr>
            <w:tcW w:w="1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26,980,122</w:t>
            </w:r>
          </w:p>
        </w:tc>
        <w:tc>
          <w:tcPr>
            <w:tcW w:w="346" w:type="dxa"/>
            <w:tcBorders/>
            <w:vAlign w:val="center"/>
          </w:tcPr>
          <w:p>
            <w:pPr>
              <w:pStyle w:val="TableContents"/>
              <w:bidi w:val="0"/>
              <w:spacing w:before="0" w:after="0"/>
              <w:ind w:left="0" w:right="0" w:hanging="0"/>
              <w:jc w:val="left"/>
              <w:rPr/>
            </w:pPr>
            <w:r>
              <w:rPr/>
              <w:t> </w:t>
            </w:r>
          </w:p>
        </w:tc>
        <w:tc>
          <w:tcPr>
            <w:tcW w:w="196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4,894,048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Used in 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net cash used in operating activities is primarily due to cash payments for operating expenses that we incur in the day-to-day operations of the business. During the six months ended May 31, 2026, net cash used in operating activities was $4,711,877. The loss attributable to common stockholders for the six months ended May 31, 2026 of $27,314,980 was increased by the changes in operating working capital of $570,210 and offset by $23,173,313 in non-cash items consisting mainly of non-cash change in fair value of warrant liability, stock-based compensation, and preferred stock dividend accrual.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for the six months ended May 31, 2025, was $1,944,253. Operating expenses resulted in a net loss of $1,692,101 for the period. Additionally, changes in working capital items increased cash usage by $270,026. The operating cash outflow was partially offset by $17,874 in non-cash adjustments for consulting fees settled by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Used in Investing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May 31, 2026, net cash provided by investing activities totaled $63,215, primarily related to the $141,262 cash assumed by the acquisition of Oregon Energy. This was partially offset by net cash used for the purchase of property, plant and equipment, intangible assets, and investments in mineral rights, totaling $78,047.</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investing activities for the six months ended May 31, 2025, was $600,000 and relates to $300,000 paid for the initial option payment for the Aurora Option Agreement and an additional $300,000 for the exercise of the Company’s right to the first six-month extension to the option agreement.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Provided by Financing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funded our business to date from the issuance of our common stock through private placements, and assumption of cash from SVII through the reverse acquisition transaction undertaken in our process of going public.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May 31, 2026, net cash provided by financing activities totaled $31,641,757, primarily related to the proceeds from PIPE financing through the issuance of cumulative convertible preferred shares of $29,700,000 and $1,939,457 in cash assumed upon the reverse recapitalization transaction as mentioned above. The Company also received $2,300 in cash proceeds upon exercise of warrants.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 for the six months ended May 31, 2025, was $7,438,301 in proceeds from the issuance of common stock in private placements and Reg CF financings, net of issuance costs.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Related party transaction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Parties are considered to be related if one party has the ability, directly or indirectly, to control the other party or exercise significant influence over the other party in making financial and operating decisions. Related parties may be individuals or corporate entities. A transaction is a related party transaction when there is a transfer of resources or obligations between related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six months ended May 31, 2026, the Company incurred $135,030 (for the six months ended May 31, 2025 - $90,000) in fees to the CEO of the Company, and $25,000 of bonus to the CEO (for the six months ended May 31, 2025 - $Nil) payable upon completion of the de-SPAC transaction. As of May 31, 2026, $60,030 of CEO fees (November 30, 2025 - $15,000), and $12,886 in expense reimbursements (November 30, 2025 - $Nil) were included in due to related parties.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incurred $78,009 (for the six months ended May 31, 2025 - $Nil) in fees to the Chief Financial Officer (the “CFO”) of the Company. As of May 31, 2026, $24,259 of CFO fees (November 30, 2025 - $10,750) and $1,947 in expense reimbursements (November 30, 2025 - $Nil) were included in due to related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incurred $Nil (for the six months ended May 31, 2025 - $90,000) in fees with a company controlled by the former Chief Financial Officer (the “former CFO”) of the Company. As of May 31, 2026, $Nil of former CFO fees (November 30, 2025 - $15,000) and $Nil in expense reimbursements (November 30, 2025 - $Nil) were included in due to related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incurred $72,500 (for the six months ended May 31, 2025 - $90,000) of consulting fees with a company controlled by a director of the Company. As of May 31, 2026, $15,000 (November 30, 2025 - $22,500) of consulting fees and $6,008 (November 30, 2025 - $7,971) in expense reimbursements were included in due to related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six months ended May 31, 2026, the Company incurred $135,000 (for the six months ended May 31, 2025 - $231,250) of consulting fees with a company (for the six months ended May 31, 2025 - two companies) controlled by a stockholder of the Company. As of May 31, 2026, $Nil (November 30, 2025 - $67,875) of consulting fees and $Nil (November 30, 2025 - $128,064) in expense reimbursements were included in due to related parties.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there was one stockholder who held over 5% of the Company’s common stock during the six months ended May 31, 2025 that provided consulting services to the Company. The stockholder no longer holds over 5% of the Company’s common stock during the six months ended May 31, 2026. During the six months ended May 31, 2026, the Company incurred $Nil (for the six months ended May 31, 2025 - $90,250) of consulting fees with this stockholder. As of May 31, 2026, $Nil (November 30, 2025 - $12,865) was included in due to related parties for amounts relating to expense reimbursements due to a stockholder.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granted the following stock options and RSUs to related parties: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750,000 stock options with grant date fair value of $4,917,072 and 250,000 RSUs with grant date fair value of $2,380,000 to the CEO;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14,000 stock options with grant date fair value of $89,084 and 42,000 RSUs with grant date fair value of $384,300 to the CFO;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40,625 stock options with grant date fair value of $250,536 and 121,875 RSUs with grant date fair value of $1,115,156 to four directors.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May 31, 2026, the Company incurred $3,069,747 (for the six months ended May 31, 2025 - $Nil) of stock based compensation to the CEO and CFO, recognized in salaries and wages; and $731,157 (for the six months ended May 31, 2025 - $Nil) of stock based compensation to the Company’s directors, recognized in professional fees.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Commitments and Contingencies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1, 2024, the Company entered into a consulting agreement with the CEO of the Company. Pursuant to the agreement, the CEO is eligible to receive a one-time cash payment of $25,000 upon completion of an initial public offering. In connection with the completion of the de-SPAC transaction, this condition was satisfied, and accordingly, the $25,000 payment was paid during the six months ended May 31, 2026. Following the de-SPAC transaction, the CEO is expected to enter into an executive employment agreement with the Company, which was approved by the board on June 5, 2026. Pursuant to the new executive employment agreement, the CEO will be entitled to receive (i) $50,000 of cash bonus payable upon the commencement of the Company’s technical work program at the AUP; and, at the board’s discretion, (ii) 183,333 RSUs pursuant to the EIP; and, (iii) additional equity awards consisting of a mix of stock options and RSUs totaling 1,000,000 shares, with allocations to be determined by the Company’s board of directors. The additional equity awards totaling 1,000,000 shares, consisting of 750,000 stock options and 250,000 RSUs, were granted to the CEO on April 15,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June 1, 2024, the Company began leasing office space on a month-to-month basis from an unrelated third party under an operating lease agreement. The monthly payments approximate $7,500 (CAD$10,500) and ancillary expenses. This operating lease agreement has been terminated as of March 31, 2026. During the six months ended May 31, 2026, rent expense under this agreement totaled $30,274 (for the six months ended May 31, 2025 - $48,943).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29, 2025, the Company entered into the PIPE Agreement with Eagle Energy and a private investor, regarding a potential issuance by the Company, of 29,700 shares of Series A Cumulative Convertible Preferred Stock for $29,700,000 (“PIPE Issuance”), upon the completion of the de-SPAC transaction as contemplated by the BCA. The PIPE Issuance was completed on February 24, 2026. The Series A Cumulative Convertible Preferred Stock accrues dividends at 12% annually (if paid in kind), or 10% annually (if paid in cash). At the option of the holder, the PIPE Issuance is convertible to common stock of the Company initially at a conversion price of $11.88, representing a conversion ratio of 1-to-84.18, subject to adjustments. In connection with the PIPE Issuance, the Company also issued to the investor 2,500,000 warrants with an exercise price of $12.00 per share. As of May 31, 2026, the Company accrued dividends of $781,151.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October 15, 2025, the Company entered into a consulting agreement with the CFO of the Company. Pursuant to the agreement, the Company will use commercially reasonable efforts to issue 90,000 stock options to the CFO upon completion of listing on Nasdaq. As of May 31, 2026, the Company issued 14,000 stock options and 42,000 RSUs to the CFO. A commitment to issue 34,000 stock options remains yet to be met. Following the de-SPAC transaction, the CFO is expected to enter into an executive employment agreement with the Company, which was approved by the board on June 5, 2026. Pursuant to the new executive employment agreement, the CFO may receive an additional 10,000 RSUs pursuant to the EIP, subject to the board’s approval.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October 16, 2025, the Company entered into an operating lease agreement from an unrelated third party for the office space in New York for 62 months, which commenced on January 1, 2026. The monthly payments approximate $14,457 and ancillary expenses. During the period ended May 31, 2026, rent expense under this agreement totaled $71,118 (May 31, 2025 - $Nil).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3, 2025, the Company entered into an operating lease agreement from an unrelated third party for the office space in Vancouver for 2 years. The monthly payments approximate $4,211 (CAD $5,787) and ancillary expenses. During the period ended May 31, 2026, rent expense under this agreement totaled $22,463 (May 31, 2025 - $Nil).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24, 2026, upon the completion of the de-SPAC transaction, the Company granted the right to certain shareholders of the Company to receive Earnout Shares. During the Earnout Period until February 24, 2031, if the Earnout Target is met, or if a change of control transaction occurs during the Earnout Period and the Earnout Target was not already met, the Company will grant 1,500,000 Earnout Shares to the eligible shareholders. No Earnout Share has been issued as of May 31,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27, 2026, the Company entered into a drilling services agreement with Harris Exploration Drilling &amp; Associates Inc. to complete a 27,000 ft drill program at the AUP to address data gaps and advance the AUP towards a pre-feasibility study. The drill program is expected to commence in July 2026, subject to requisite permit approvals from BLM and DOGAMI. The agreement may be terminated for convenience at any time by the Company with 30 days prior written notice at no penalty, with only payment required for work actually performed up to the effective date of termination and for reasonable, documented demobilization costs directly resulting from such termination.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April 28, 2026, the Company entered into a services agreement with Tensor Medium Corporation, an advanced algorithm and artificial intelligence company, to support reactor modeling, simulation and optimization efforts connected to the Company’s SMR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program, including reactor engineering support, materials optimization, quantum development, and support for future licensing readiness in connection with the Company’s SMR development initiatives. The contract is for a term of 12 months and may be terminated for convenience at any time by either party with 30 days prior written notice at no penalty.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Capital Management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Capital is comprised of our stockholders’ equity (deficit) and any debt that we may issue. Our objectives when managing capital are to maintain financial strength and to protect our ability to execute our exploration and operational plans towards the development of the AUP and capabilities for the SMR business, to maintain creditworthiness and to maximize returns for our stockholders over the long term. Protecting the ability to pay current and future liabilities includes maintaining capital above minimum regulatory levels, current financial strength rating requirements and internally determined capital guidelines and calculated risk management levels. We manage capital structure to maximize financial flexibility by adjusting in response to changes in economic conditions and the risk characteristics of the underlying assets and business opportunities. We do not presently utilize any quantitative measures to monitor our capital, but rather we rely on our management’s expertise to sustain the future development of the business. Management reviews its capital management approach on an ongoing basis and believes that this approach, given our size, is reasonable.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were no changes to our approach to capital management during the period. We are not subject to externally imposed capital requirements.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unaudited condensed consolidated interim financial statements are prepared in accordance with generally accepted accounting principles in the U.S. The preparation of our unaudited condensed consolidated interim financial statements and related disclosures requires us to make estimates and judgments that affect the reported amounts of assets, liabilities, costs and expenses, and the disclosure of contingent assets and liabilities in our unaudited condensed consolidated interim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summary of significant accounting policies is described in more detail in the notes to our unaudited condensed consolidated interim financial statements. Please refer to Note 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entered into any material off-balance sheet arrangements such as guarantee contracts, contingent interests in assets transferred to unconsolidated entities, derivative financial obligations, or with respect to any obligations under a variable interest equity arrangement.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Proposed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entered into any proposed transactions that have not been disclosed herein.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Subsequent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evaluated all events and transactions occurring subsequent to May 31, 2026, through the date the unaudited condensed consolidated interim financial statements were issued, for items requiring adjustment to or disclosure in the accompanying unaudited condensed consolidated interim financial statements and notes to the unaudited condensed consolidated interim financial statements. The Company noted no such events or transactions other than those described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5, 2026, the board of directors of the Company approved and ratified the written CEO and CFO employment agreements, effective upon the consummation of the de-SPAC, with annualized base salaries at $350,000 and $180,000, respectively, and eligibility to receive certain incentive bonuses and to participate in the EIP of the Company, as disclosed in Note 16 to the unaudited condensed consolidated interim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Emerging Growth Company Status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Jumpstart Our Business Startups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we will not be subject to the same new or revised accounting standards as other public companies that are not emerging growth companies, and our financial statements may not be comparable to other public companies that comply with new or revised accounting pronouncements as of public company effective dates. However, we may choose to early adopt any new or revised accounting standards whenever such early adoption is permitted for private companies.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will cease to be an emerging growth company on the date that is the earliest of (i) the last day of the fiscal year in which the market value of the shares of Common Stock that are held by non-affiliates exceeds $700 million as of that year’s second fiscal quarter, (ii) the last day of the fiscal year in which we have total annual gross revenue of $1.235 billion or more during such fiscal year (as indexed for inflation), (iii) the date on which we have issued more than $1 billion in non-convertible debt in the prior three-year period or (iv) December 31, 2027.</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pStyle w:val="TextBody"/>
        <w:bidi w:val="0"/>
        <w:spacing w:before="0" w:after="240"/>
        <w:ind w:left="0" w:right="0" w:hanging="0"/>
        <w:jc w:val="both"/>
        <w:rPr>
          <w:rFonts w:ascii="Times New Roman;Times;serif" w:hAnsi="Times New Roman;Times;serif"/>
          <w:b/>
          <w:sz w:val="20"/>
        </w:rPr>
      </w:pPr>
      <w:bookmarkStart w:id="1362" w:name="Item3QuantitativeAndQualitativeDisclosur"/>
      <w:bookmarkStart w:id="1363" w:name="_d9fbb09a_7ec9_470f_9fa2_2e9fa8cb3088"/>
      <w:bookmarkEnd w:id="1362"/>
      <w:bookmarkEnd w:id="1363"/>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smaller reporting company as defined by Rule 12b-2 of the Exchange Act and are not required to provide the information required under this item. However, we have elected to provide the following information related to 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board of directors have overall responsibility for the establishment and oversight of our risk management policies on an annual basis. Management identifies and evaluates our financial risks and is charged with the responsibility of establishing controls and procedures to ensure financial risks are mitigated in accordance with the approved policies.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financial instruments consist of cash, restricted cash, due to related parties, accounts payable and accrued liabilities. The carrying value of the Company’s cash, restricted cash, due to related parties, and accounts payable and accrued liabilities approximate their fair value due to their short terms to maturity.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risk exposures and the impact on our financial instruments are summarized below:</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Credit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Credit risk is the risk of an unexpected loss if a customer or third party to a financial instrument fails to meet its contractual obligations. Our credit risk is primarily attributable to our liquid financial assets including cash. Our financial assets are cash and restricted cash. Our maximum exposure to credit risk, as of period end, is the carrying value of our financial assets, being $28,282,050 (November 30, 2025 - $1,301,928) as of May 31, 2026. We hold cash with major financial institutions, therefore minimizing our credit risk.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Liquidity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Liquidity risk is the risk that we will not be able to meet financial obligations as they fall due. We manage liquidity by maintaining adequate cash balances and by raising equity and debt financings. We have no assurance that such financings will be available on favorable terms in the future. In general, we attempt to avoid exposure to liquidity risk by obtaining corporate financing through the issuance of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May 31, 2026, we had cash of $28,091,090 (November 30, 2025 - $1,301,928) to settle current liabilities of $1,825,222 (November 30, 2025 - $843,519) which fall due for payment within 12 months of the date of the unaudited condensed consolidated interim balance sheet.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Market risk is the risk that changes in market prices, such as foreign exchange rates, interest rates and equity prices will affect our income or value of holdings or financial instruments. As of May 31, 2026, our exposure to market risk was insignificant as we did not hold material amounts of financial instruments in foreign currencies, nor did we hold any debt that was subject to variable interest rates.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Inflation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believe that inflation had a significant impact on our results of operations for any period presented in our unaudited condensed consolidated interim financial statements. Nonetheless, if our costs were to become subject to significant inflationary pressures, we may not be able to fully offset such higher costs, and our inability or failure to do so could harm our business, financial condition and results of operations.</w:t>
      </w:r>
    </w:p>
    <w:p>
      <w:pPr>
        <w:pStyle w:val="TextBody"/>
        <w:bidi w:val="0"/>
        <w:spacing w:before="0" w:after="240"/>
        <w:ind w:left="0" w:right="0" w:hanging="0"/>
        <w:jc w:val="both"/>
        <w:rPr>
          <w:rFonts w:ascii="Times New Roman;Times;serif" w:hAnsi="Times New Roman;Times;serif"/>
          <w:b/>
          <w:sz w:val="20"/>
        </w:rPr>
      </w:pPr>
      <w:bookmarkStart w:id="1364" w:name="Item4ControlsAndProcedures_757575"/>
      <w:bookmarkStart w:id="1365" w:name="_f4519338_5167_4b16_8b1a_47c8ec6a80ff"/>
      <w:bookmarkEnd w:id="1364"/>
      <w:bookmarkEnd w:id="1365"/>
      <w:r>
        <w:rPr>
          <w:rFonts w:ascii="Times New Roman;Times;serif" w:hAnsi="Times New Roman;Times;serif"/>
          <w:b/>
          <w:sz w:val="20"/>
        </w:rPr>
        <w:t>Item 4. Controls And Procedures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an evaluation as of May 31, 2026, our management, including the Chief Executive Officer and Chief Financial Officer, has concluded that our disclosure controls and procedures (as defined in Rule 13a-15(e) under the Exchange Act) were not effective to provide reasonable assurance because of a material weakness in our internal control over financial reporting as described below. There have been no changes during the fiscal quarter ended May 31, 2026.</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Material Weaknesses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material weakness is a deficiency, or a combination of deficiencies, in internal control over financial reporting, such that there is a reasonable possibility that a material misstatement of our annual financial statements will not be prevented or detected in a timely manner.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did not design or maintain an effective control environment commensurate with financial reporting requirements. Specifically, we did not consistently have documented evidence of review procedures and, due to resource limitations, did not always maintain segregation of duties between preparing and reviewing analyses, and reconciliations.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above material weakness did not result in a material misstatement of our unaudited condensed consolidated interim financial statements, however, it could result in a misstatement of our account balances or disclosures that would result in a material misstatement that would not be prevented or detected.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Remediation Efforts to Address the Identified Material Weaknesses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taken, and continue to take, steps to remediate the material weakness and strengthen our internal control over financial reporting through the continued hiring of additional appropriately skilled finance and accounting personnel, in order to have sufficient personnel and expertise to implement appropriate segregation of duties, formalize internal controls and enable sufficient technical review for complex accounting transactions. We are in the process of strengthening review-related controls to enhance evidence of review and reduce threat of self-review, where practicable. We currently retain a third-party advisor with qualified personnel to support the preparation of quarterly financial reporting and disclosures and on technical accounting matters. We continue to evaluate options, given the resource limitations described above, regarding the hiring of qualified personnel and additional policies to be implemented in order to improve segregation of duties.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will not be able to fully remediate these control deficiencies until these steps have been completed and have been operating effectively for a sufficient period of time. We expect to make continued progress on these remediation efforts throughout fiscal 2026, with the pace of the segregation-of-duties component dependent on resourcing as noted above. Management will continue to review and make necessary changes to the overall design of our internal control environment, as well as policies and procedures to improve the overall effectiveness of internal control over financial reporting. The material weakness will not be considered remediated, however, until the applicable controls operate for a sufficient period of time and management has concluded that these controls are operating effectively.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Except as described above under “Remediation Efforts to Address the Identified Material Weaknesses”, there was no change in our internal control over financial reporting during the fiscal quarter ended May 31, 2026 covered by this Quarterly Report that has materially affected, or is reasonably likely to materially affect, our internal control over financial reporting (as defined in Rules 13a-15(f) and 15d-15(f) under the Exchange Act).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66" w:name="PARTIIOTHERINFORMATION_259588"/>
      <w:bookmarkStart w:id="1367" w:name="_bdfa9f7e_ec66_4f53_a59d_fd2783e2a453"/>
      <w:bookmarkEnd w:id="1366"/>
      <w:bookmarkEnd w:id="1367"/>
      <w:r>
        <w:rPr>
          <w:rFonts w:ascii="Times New Roman;Times;serif" w:hAnsi="Times New Roman;Times;serif"/>
          <w:b/>
          <w:sz w:val="20"/>
        </w:rPr>
        <w:t>PART II – OTHER INFORMATION</w:t>
      </w:r>
    </w:p>
    <w:p>
      <w:pPr>
        <w:pStyle w:val="TextBody"/>
        <w:bidi w:val="0"/>
        <w:spacing w:before="0" w:after="240"/>
        <w:ind w:left="0" w:right="0" w:hanging="0"/>
        <w:jc w:val="both"/>
        <w:rPr>
          <w:rFonts w:ascii="Times New Roman;Times;serif" w:hAnsi="Times New Roman;Times;serif"/>
          <w:b/>
          <w:sz w:val="20"/>
        </w:rPr>
      </w:pPr>
      <w:bookmarkStart w:id="1368" w:name="Item1LegalProceedings_789591"/>
      <w:bookmarkEnd w:id="1368"/>
      <w:r>
        <w:rPr>
          <w:rFonts w:ascii="Times New Roman;Times;serif" w:hAnsi="Times New Roman;Times;serif"/>
          <w:b/>
          <w:sz w:val="20"/>
        </w:rPr>
        <w:t>Item 1. 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not currently a party to any pending legal proceedings that we believe will have a material adverse effect on our business or financial conditions. We may, however, be subject to various claims and legal actions arising in the ordinary course of business from time to time.</w:t>
      </w:r>
    </w:p>
    <w:p>
      <w:pPr>
        <w:pStyle w:val="TextBody"/>
        <w:bidi w:val="0"/>
        <w:spacing w:before="0" w:after="240"/>
        <w:ind w:left="0" w:right="0" w:hanging="0"/>
        <w:jc w:val="both"/>
        <w:rPr>
          <w:rFonts w:ascii="Times New Roman;Times;serif" w:hAnsi="Times New Roman;Times;serif"/>
          <w:b/>
          <w:sz w:val="20"/>
        </w:rPr>
      </w:pPr>
      <w:bookmarkStart w:id="1369" w:name="Item1ARiskFactors_186367"/>
      <w:bookmarkStart w:id="1370" w:name="_ec5025be_0ae0_4bf8_b048_5012b7afcbb3"/>
      <w:bookmarkEnd w:id="1369"/>
      <w:bookmarkEnd w:id="1370"/>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smaller reporting company as defined by Rule 12b-2 of the Exchange Act and are not required to provide the information required under this item. You should carefully consider the risks discussed in the section entitled “Risk Factors” in the Registration Statement, which could materially affect our business, financial condition, or future results. The risks described in the Registration Statement are not the only risks we face. Additional risks and uncertainties not currently known to us or that we do not currently deem material, may also materially affect our business, results of operations, cash flows and financial position.</w:t>
      </w:r>
    </w:p>
    <w:p>
      <w:pPr>
        <w:pStyle w:val="TextBody"/>
        <w:bidi w:val="0"/>
        <w:spacing w:before="0" w:after="240"/>
        <w:ind w:left="0" w:right="0" w:hanging="0"/>
        <w:jc w:val="both"/>
        <w:rPr>
          <w:rFonts w:ascii="Times New Roman;Times;serif" w:hAnsi="Times New Roman;Times;serif"/>
          <w:b/>
          <w:sz w:val="20"/>
        </w:rPr>
      </w:pPr>
      <w:bookmarkStart w:id="1371" w:name="Item2UnregisteredSalesofEquitySecurities"/>
      <w:bookmarkStart w:id="1372" w:name="_37641e5e_ba3a_4ed6_bba7_f245fe0095e4"/>
      <w:bookmarkEnd w:id="1371"/>
      <w:bookmarkEnd w:id="1372"/>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(a)There were no sales of unregistered equity securities during the three months ended May 31, 2026 that were not previously reported on a Current Report on Form 8-K.</w:t>
      </w:r>
    </w:p>
    <w:tbl>
      <w:tblPr>
        <w:tblW w:w="1742" w:type="dxa"/>
        <w:jc w:val="left"/>
        <w:tblInd w:w="0" w:type="dxa"/>
        <w:tblLayout w:type="fixed"/>
        <w:tblCellMar>
          <w:top w:w="0" w:type="dxa"/>
          <w:left w:w="0" w:type="dxa"/>
          <w:bottom w:w="0" w:type="dxa"/>
          <w:right w:w="0" w:type="dxa"/>
        </w:tblCellMar>
      </w:tblPr>
      <w:tblGrid>
        <w:gridCol w:w="346"/>
        <w:gridCol w:w="139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(c)None.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373" w:name="Item3DefaultsUponSeniorSecurities_910652"/>
      <w:bookmarkStart w:id="1374" w:name="_e5a05028_81e0_4020_831f_3b3230cd2959"/>
      <w:bookmarkEnd w:id="1373"/>
      <w:bookmarkEnd w:id="1374"/>
      <w:r>
        <w:rPr>
          <w:rFonts w:ascii="Times New Roman;Times;serif" w:hAnsi="Times New Roman;Times;serif"/>
          <w:b/>
          <w:sz w:val="20"/>
        </w:rPr>
        <w:t>Item 3. Defaults Upon Senior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rFonts w:ascii="Times New Roman;Times;serif" w:hAnsi="Times New Roman;Times;serif"/>
          <w:b/>
          <w:sz w:val="20"/>
        </w:rPr>
      </w:pPr>
      <w:bookmarkStart w:id="1375" w:name="Item4MineSafetyDisclosures_574558"/>
      <w:bookmarkStart w:id="1376" w:name="_6d615e9b_0f29_463e_b1d2_2f16ff2f7f2f"/>
      <w:bookmarkEnd w:id="1375"/>
      <w:bookmarkEnd w:id="1376"/>
      <w:r>
        <w:rPr>
          <w:rFonts w:ascii="Times New Roman;Times;serif" w:hAnsi="Times New Roman;Times;serif"/>
          <w:b/>
          <w:sz w:val="20"/>
        </w:rPr>
        <w:t>Item 4. Mine Safety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b/>
          <w:sz w:val="20"/>
        </w:rPr>
      </w:pPr>
      <w:bookmarkStart w:id="1377" w:name="Item5OtherInformation_695526"/>
      <w:bookmarkStart w:id="1378" w:name="_a674b9ae_c492_45bf_8567_24d28ec701af"/>
      <w:bookmarkEnd w:id="1377"/>
      <w:bookmarkEnd w:id="1378"/>
      <w:r>
        <w:rPr>
          <w:rFonts w:ascii="Times New Roman;Times;serif" w:hAnsi="Times New Roman;Times;serif"/>
          <w:b/>
          <w:sz w:val="20"/>
        </w:rPr>
        <w:t>Item 5. Other Information</w:t>
      </w:r>
    </w:p>
    <w:tbl>
      <w:tblPr>
        <w:tblW w:w="962" w:type="dxa"/>
        <w:jc w:val="left"/>
        <w:tblInd w:w="0" w:type="dxa"/>
        <w:tblLayout w:type="fixed"/>
        <w:tblCellMar>
          <w:top w:w="0" w:type="dxa"/>
          <w:left w:w="0" w:type="dxa"/>
          <w:bottom w:w="0" w:type="dxa"/>
          <w:right w:w="0" w:type="dxa"/>
        </w:tblCellMar>
      </w:tblPr>
      <w:tblGrid>
        <w:gridCol w:w="331"/>
        <w:gridCol w:w="631"/>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tbl>
      <w:tblPr>
        <w:tblW w:w="977" w:type="dxa"/>
        <w:jc w:val="left"/>
        <w:tblInd w:w="0" w:type="dxa"/>
        <w:tblLayout w:type="fixed"/>
        <w:tblCellMar>
          <w:top w:w="0" w:type="dxa"/>
          <w:left w:w="0" w:type="dxa"/>
          <w:bottom w:w="0" w:type="dxa"/>
          <w:right w:w="0" w:type="dxa"/>
        </w:tblCellMar>
      </w:tblPr>
      <w:tblGrid>
        <w:gridCol w:w="346"/>
        <w:gridCol w:w="63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1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our fiscal quarter ended May 31, 2026, none</w:t>
            </w:r>
            <w:r>
              <w:rPr>
                <w:caps w:val="false"/>
                <w:smallCaps w:val="false"/>
              </w:rPr>
              <w:t xml:space="preserve"> </w:t>
            </w:r>
            <w:r>
              <w:rPr>
                <w:rFonts w:ascii="Times New Roman;Times;serif" w:hAnsi="Times New Roman;Times;serif"/>
                <w:b w:val="false"/>
                <w:i w:val="false"/>
                <w:caps w:val="false"/>
                <w:smallCaps w:val="false"/>
                <w:sz w:val="20"/>
              </w:rPr>
              <w:t>of our directors</w:t>
            </w:r>
            <w:r>
              <w:rPr>
                <w:caps w:val="false"/>
                <w:smallCaps w:val="false"/>
              </w:rPr>
              <w:t xml:space="preserve"> </w:t>
            </w:r>
            <w:r>
              <w:rPr>
                <w:rFonts w:ascii="Times New Roman;Times;serif" w:hAnsi="Times New Roman;Times;serif"/>
                <w:b w:val="false"/>
                <w:i w:val="false"/>
                <w:caps w:val="false"/>
                <w:smallCaps w:val="false"/>
                <w:sz w:val="20"/>
              </w:rPr>
              <w:t>or executive</w:t>
            </w:r>
            <w:r>
              <w:rPr>
                <w:caps w:val="false"/>
                <w:smallCaps w:val="false"/>
              </w:rPr>
              <w:t xml:space="preserve"> </w:t>
            </w:r>
            <w:r>
              <w:rPr>
                <w:rFonts w:ascii="Times New Roman;Times;serif" w:hAnsi="Times New Roman;Times;serif"/>
                <w:b w:val="false"/>
                <w:i w:val="false"/>
                <w:caps w:val="false"/>
                <w:smallCaps w:val="false"/>
                <w:sz w:val="20"/>
              </w:rPr>
              <w:t>officers adopted, modified</w:t>
            </w:r>
            <w:r>
              <w:rPr>
                <w:caps w:val="false"/>
                <w:smallCaps w:val="false"/>
              </w:rPr>
              <w:t xml:space="preserve"> </w:t>
            </w:r>
            <w:r>
              <w:rPr>
                <w:rFonts w:ascii="Times New Roman;Times;serif" w:hAnsi="Times New Roman;Times;serif"/>
                <w:b w:val="false"/>
                <w:i w:val="false"/>
                <w:caps w:val="false"/>
                <w:smallCaps w:val="false"/>
                <w:sz w:val="20"/>
              </w:rPr>
              <w:t>or terminated</w:t>
            </w:r>
            <w:r>
              <w:rPr>
                <w:caps w:val="false"/>
                <w:smallCaps w:val="false"/>
              </w:rPr>
              <w:t xml:space="preserve"> </w:t>
            </w:r>
            <w:r>
              <w:rPr>
                <w:rFonts w:ascii="Times New Roman;Times;serif" w:hAnsi="Times New Roman;Times;serif"/>
                <w:b w:val="false"/>
                <w:i w:val="false"/>
                <w:caps w:val="false"/>
                <w:smallCaps w:val="false"/>
                <w:sz w:val="20"/>
              </w:rPr>
              <w:t>any contract, instruction or written plan for the purchase or sale of our securities that was intended to satisfy the affirmative defense conditions of Rule 10b5-1(c) or any “non-Rule 10b5-1 trading arrangement” as defined in Item 408(c) of Regulation S-K.</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379" w:name="Item6Exhibits_810647"/>
      <w:bookmarkStart w:id="1380" w:name="_8ccd95cb_a524_4e1f_9b1f_170092f3952a"/>
      <w:bookmarkEnd w:id="1379"/>
      <w:bookmarkEnd w:id="1380"/>
      <w:r>
        <w:rPr>
          <w:rFonts w:ascii="Times New Roman;Times;serif" w:hAnsi="Times New Roman;Times;serif"/>
          <w:b/>
          <w:sz w:val="20"/>
        </w:rPr>
        <w:t>Item 6. Exhibits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exhibits are included with this Quarterly Report:</w:t>
      </w:r>
    </w:p>
    <w:p>
      <w:pPr>
        <w:pStyle w:val="Normal"/>
        <w:bidi w:val="0"/>
        <w:spacing w:before="0" w:after="0"/>
        <w:jc w:val="left"/>
        <w:rPr>
          <w:sz w:val="4"/>
          <w:szCs w:val="4"/>
        </w:rPr>
      </w:pPr>
      <w:r>
        <w:rPr>
          <w:sz w:val="4"/>
          <w:szCs w:val="4"/>
        </w:rPr>
      </w:r>
      <w:bookmarkStart w:id="1381" w:name="_Hlk226712993"/>
      <w:bookmarkStart w:id="1382" w:name="_Hlk226713012"/>
      <w:bookmarkStart w:id="1383" w:name="_Hlk226712993"/>
      <w:bookmarkStart w:id="1384" w:name="_Hlk226713012"/>
      <w:bookmarkEnd w:id="1383"/>
      <w:bookmarkEnd w:id="1384"/>
    </w:p>
    <w:tbl>
      <w:tblPr>
        <w:tblW w:w="10205" w:type="dxa"/>
        <w:jc w:val="left"/>
        <w:tblInd w:w="0" w:type="dxa"/>
        <w:tblLayout w:type="fixed"/>
        <w:tblCellMar>
          <w:top w:w="0" w:type="dxa"/>
          <w:left w:w="0" w:type="dxa"/>
          <w:bottom w:w="28" w:type="dxa"/>
          <w:right w:w="0" w:type="dxa"/>
        </w:tblCellMar>
      </w:tblPr>
      <w:tblGrid>
        <w:gridCol w:w="720"/>
        <w:gridCol w:w="346"/>
        <w:gridCol w:w="9139"/>
      </w:tblGrid>
      <w:tr>
        <w:trPr/>
        <w:tc>
          <w:tcPr>
            <w:tcW w:w="7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No.</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9139"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 of Exhibit</w:t>
            </w:r>
          </w:p>
        </w:tc>
      </w:tr>
      <w:tr>
        <w:trPr/>
        <w:tc>
          <w:tcPr>
            <w:tcW w:w="72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39" w:type="dxa"/>
            <w:tcBorders/>
            <w:tcMar>
              <w:bottom w:w="0" w:type="dxa"/>
            </w:tcMar>
            <w:vAlign w:val="center"/>
          </w:tcPr>
          <w:p>
            <w:pPr>
              <w:pStyle w:val="TableContents"/>
              <w:bidi w:val="0"/>
              <w:spacing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"https://www.sec.gov/Archives/edgar/data/2008507/000110465926008842/tm2526882-15_424b3.htm" \l "fANNA1"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Amended and Restated Agreement and Plan of Merger, dated as of September 29, 2025, among Spring Valley Acquisition Corp. II, Eagle Nuclear Energy Corp., Spring Valley Merger Sub II, Inc., Spring Valley Merger Sub III, Inc. and Eagle Energy Metals Corp. (included as Annex A to the definitive proxy statement/prospectus filed by Eagle Nuclear Energy Corp. with the SEC on February 2, 2026).</w:t>
            </w:r>
            <w:r>
              <w:rPr>
                <w:rStyle w:val="InternetLink"/>
                <w:smallCaps w:val="false"/>
                <w:caps w:val="false"/>
                <w:sz w:val="20"/>
                <w:i w:val="false"/>
                <w:b w:val="false"/>
                <w:rFonts w:ascii="Times New Roman;Times;serif" w:hAnsi="Times New Roman;Times;serif"/>
              </w:rPr>
              <w:fldChar w:fldCharType="end"/>
            </w:r>
          </w:p>
        </w:tc>
      </w:tr>
      <w:tr>
        <w:trPr/>
        <w:tc>
          <w:tcPr>
            <w:tcW w:w="72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39"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Articles of Incorporation of Eagle Nuclear Energy Corp. (incorporated by reference to Exhibit 3.1 to the Current Report on Form 8-K filed by Eagle Nuclear Energy Corp. with the SEC on March 2, 2026).</w:t>
              </w:r>
            </w:hyperlink>
          </w:p>
        </w:tc>
      </w:tr>
      <w:tr>
        <w:trPr/>
        <w:tc>
          <w:tcPr>
            <w:tcW w:w="72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39"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By-Laws of Eagle Nuclear Energy Corp. (incorporated by reference to Exhibit 3.2 to the Current Report on Form 8-K filed by Eagle Nuclear Energy Corp. with the SEC on March 2, 2026).</w:t>
              </w:r>
            </w:hyperlink>
          </w:p>
        </w:tc>
      </w:tr>
      <w:tr>
        <w:trPr/>
        <w:tc>
          <w:tcPr>
            <w:tcW w:w="72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3.3</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39"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Certificate of Designation of Series A Cumulative Convertible Preferred Stock of Eagle Nuclear Energy Corp. (incorporated by reference to Exhibit 3.3 to the Current Report on Form 8-K filed by Eagle Nuclear Energy Corp. with the SEC on March 2, 2026).</w:t>
              </w:r>
            </w:hyperlink>
          </w:p>
        </w:tc>
      </w:tr>
      <w:tr>
        <w:trPr/>
        <w:tc>
          <w:tcPr>
            <w:tcW w:w="72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39" w:type="dxa"/>
            <w:tcBorders/>
            <w:tcMar>
              <w:bottom w:w="0" w:type="dxa"/>
            </w:tcMar>
            <w:vAlign w:val="center"/>
          </w:tcPr>
          <w:p>
            <w:pPr>
              <w:pStyle w:val="TableContents"/>
              <w:bidi w:val="0"/>
              <w:spacing w:before="0" w:after="0"/>
              <w:ind w:left="0" w:right="0" w:hanging="0"/>
              <w:jc w:val="left"/>
              <w:rPr/>
            </w:pPr>
            <w:hyperlink w:anchor="tmb-20260531xex31d1.htm">
              <w:r>
                <w:rPr>
                  <w:rStyle w:val="InternetLink"/>
                  <w:rFonts w:ascii="Times New Roman;Times;serif" w:hAnsi="Times New Roman;Times;serif"/>
                  <w:b w:val="false"/>
                  <w:i w:val="false"/>
                  <w:caps w:val="false"/>
                  <w:smallCaps w:val="false"/>
                  <w:sz w:val="20"/>
                </w:rPr>
                <w:t>Certification of Principal Executive Officer Pursuant to Securities Exchange Act Rules 13a-14(a) and 15(d)-14(a), as adopted Pursuant to Section 302 of the Sarbanes-Oxley Act of 2002</w:t>
              </w:r>
            </w:hyperlink>
          </w:p>
        </w:tc>
      </w:tr>
      <w:tr>
        <w:trPr/>
        <w:tc>
          <w:tcPr>
            <w:tcW w:w="72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39" w:type="dxa"/>
            <w:tcBorders/>
            <w:tcMar>
              <w:bottom w:w="0" w:type="dxa"/>
            </w:tcMar>
            <w:vAlign w:val="center"/>
          </w:tcPr>
          <w:p>
            <w:pPr>
              <w:pStyle w:val="TableContents"/>
              <w:bidi w:val="0"/>
              <w:spacing w:before="0" w:after="0"/>
              <w:ind w:left="0" w:right="0" w:hanging="0"/>
              <w:jc w:val="left"/>
              <w:rPr/>
            </w:pPr>
            <w:hyperlink w:anchor="tmb-20260531xex31d2.htm">
              <w:r>
                <w:rPr>
                  <w:rStyle w:val="InternetLink"/>
                  <w:rFonts w:ascii="Times New Roman;Times;serif" w:hAnsi="Times New Roman;Times;serif"/>
                  <w:b w:val="false"/>
                  <w:i w:val="false"/>
                  <w:caps w:val="false"/>
                  <w:smallCaps w:val="false"/>
                  <w:sz w:val="20"/>
                </w:rPr>
                <w:t>Certification of Principal Financial Officer Pursuant to Securities Exchange Act Rules 13a-14(a) and 15(d)-14(a), as adopted Pursuant to Section 302 of the Sarbanes-Oxley Act of 2002</w:t>
              </w:r>
            </w:hyperlink>
          </w:p>
        </w:tc>
      </w:tr>
      <w:tr>
        <w:trPr/>
        <w:tc>
          <w:tcPr>
            <w:tcW w:w="72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39" w:type="dxa"/>
            <w:tcBorders/>
            <w:tcMar>
              <w:bottom w:w="0" w:type="dxa"/>
            </w:tcMar>
            <w:vAlign w:val="center"/>
          </w:tcPr>
          <w:p>
            <w:pPr>
              <w:pStyle w:val="TableContents"/>
              <w:bidi w:val="0"/>
              <w:spacing w:before="0" w:after="0"/>
              <w:ind w:left="0" w:right="0" w:hanging="0"/>
              <w:jc w:val="left"/>
              <w:rPr/>
            </w:pPr>
            <w:hyperlink w:anchor="tmb-202605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72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39" w:type="dxa"/>
            <w:tcBorders/>
            <w:tcMar>
              <w:bottom w:w="0" w:type="dxa"/>
            </w:tcMar>
            <w:vAlign w:val="center"/>
          </w:tcPr>
          <w:p>
            <w:pPr>
              <w:pStyle w:val="TableContents"/>
              <w:bidi w:val="0"/>
              <w:spacing w:before="0" w:after="0"/>
              <w:ind w:left="0" w:right="0" w:hanging="0"/>
              <w:jc w:val="left"/>
              <w:rPr/>
            </w:pPr>
            <w:hyperlink w:anchor="tmb-202605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720" w:type="dxa"/>
            <w:tcBorders/>
            <w:tcMar>
              <w:bottom w:w="0" w:type="dxa"/>
            </w:tcM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101.INS</w:t>
            </w:r>
            <w:r>
              <w:rPr>
                <w:rFonts w:ascii="Times New Roman;Times;serif" w:hAnsi="Times New Roman;Times;serif"/>
                <w:sz w:val="14"/>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3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XBRL Instance Document</w:t>
            </w:r>
          </w:p>
        </w:tc>
      </w:tr>
      <w:tr>
        <w:trPr/>
        <w:tc>
          <w:tcPr>
            <w:tcW w:w="720" w:type="dxa"/>
            <w:tcBorders/>
            <w:tcMar>
              <w:bottom w:w="0" w:type="dxa"/>
            </w:tcM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101.SCH</w:t>
            </w:r>
            <w:r>
              <w:rPr>
                <w:rFonts w:ascii="Times New Roman;Times;serif" w:hAnsi="Times New Roman;Times;serif"/>
                <w:sz w:val="14"/>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3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XBRL Taxonomy Extension Schema Document</w:t>
            </w:r>
          </w:p>
        </w:tc>
      </w:tr>
      <w:tr>
        <w:trPr/>
        <w:tc>
          <w:tcPr>
            <w:tcW w:w="720" w:type="dxa"/>
            <w:tcBorders/>
            <w:tcMar>
              <w:bottom w:w="0" w:type="dxa"/>
            </w:tcM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101.CAL</w:t>
            </w:r>
            <w:r>
              <w:rPr>
                <w:rFonts w:ascii="Times New Roman;Times;serif" w:hAnsi="Times New Roman;Times;serif"/>
                <w:sz w:val="14"/>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3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XBRL Taxonomy Extension Calculation Linkbase Document</w:t>
            </w:r>
          </w:p>
        </w:tc>
      </w:tr>
      <w:tr>
        <w:trPr/>
        <w:tc>
          <w:tcPr>
            <w:tcW w:w="720" w:type="dxa"/>
            <w:tcBorders/>
            <w:tcMar>
              <w:bottom w:w="0" w:type="dxa"/>
            </w:tcM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101.DEF</w:t>
            </w:r>
            <w:r>
              <w:rPr>
                <w:rFonts w:ascii="Times New Roman;Times;serif" w:hAnsi="Times New Roman;Times;serif"/>
                <w:sz w:val="14"/>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3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XBRL Taxonomy Extension Definitions Linkbase Document</w:t>
            </w:r>
          </w:p>
        </w:tc>
      </w:tr>
      <w:tr>
        <w:trPr/>
        <w:tc>
          <w:tcPr>
            <w:tcW w:w="720" w:type="dxa"/>
            <w:tcBorders/>
            <w:tcMar>
              <w:bottom w:w="0" w:type="dxa"/>
            </w:tcM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101.LAB</w:t>
            </w:r>
            <w:r>
              <w:rPr>
                <w:rFonts w:ascii="Times New Roman;Times;serif" w:hAnsi="Times New Roman;Times;serif"/>
                <w:sz w:val="14"/>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3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XBRL Taxonomy Extension Label Linkbase Document</w:t>
            </w:r>
          </w:p>
        </w:tc>
      </w:tr>
      <w:tr>
        <w:trPr/>
        <w:tc>
          <w:tcPr>
            <w:tcW w:w="720" w:type="dxa"/>
            <w:tcBorders/>
            <w:tcMar>
              <w:bottom w:w="0" w:type="dxa"/>
            </w:tcM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101.PRE</w:t>
            </w:r>
            <w:r>
              <w:rPr>
                <w:rFonts w:ascii="Times New Roman;Times;serif" w:hAnsi="Times New Roman;Times;serif"/>
                <w:sz w:val="14"/>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3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XBRL Taxonomy Extension Presentation Linkbase Document</w:t>
            </w:r>
          </w:p>
        </w:tc>
      </w:tr>
      <w:tr>
        <w:trPr/>
        <w:tc>
          <w:tcPr>
            <w:tcW w:w="720" w:type="dxa"/>
            <w:tcBorders/>
            <w:tcMar>
              <w:bottom w:w="0" w:type="dxa"/>
            </w:tcM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104</w:t>
            </w:r>
            <w:r>
              <w:rPr>
                <w:rFonts w:ascii="Times New Roman;Times;serif" w:hAnsi="Times New Roman;Times;serif"/>
                <w:sz w:val="14"/>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3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(formatted as inline XBRL and contained in Exhibit 101 attachments)</w:t>
            </w:r>
          </w:p>
        </w:tc>
      </w:tr>
    </w:tbl>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Notes:</w:t>
      </w:r>
    </w:p>
    <w:tbl>
      <w:tblPr>
        <w:tblW w:w="2252" w:type="dxa"/>
        <w:jc w:val="left"/>
        <w:tblInd w:w="0" w:type="dxa"/>
        <w:tblLayout w:type="fixed"/>
        <w:tblCellMar>
          <w:top w:w="0" w:type="dxa"/>
          <w:left w:w="0" w:type="dxa"/>
          <w:bottom w:w="0" w:type="dxa"/>
          <w:right w:w="0" w:type="dxa"/>
        </w:tblCellMar>
      </w:tblPr>
      <w:tblGrid>
        <w:gridCol w:w="211"/>
        <w:gridCol w:w="2041"/>
      </w:tblGrid>
      <w:tr>
        <w:trPr/>
        <w:tc>
          <w:tcPr>
            <w:tcW w:w="211"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w:t>
            </w:r>
          </w:p>
        </w:tc>
        <w:tc>
          <w:tcPr>
            <w:tcW w:w="2041"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Filed or furnished herewith</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both"/>
              <w:rPr/>
            </w:pPr>
            <w:r>
              <w:rPr/>
              <w:t>†</w:t>
            </w:r>
          </w:p>
        </w:tc>
        <w:tc>
          <w:tcPr>
            <w:tcW w:w="9964"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Certain of the exhibits and schedules to this Exhibit have been omitted in accordance with Regulation S-K Item 601(a)(5). The registrant agrees to furnish a copy of all omitted exhibits and schedules to the SEC upon its request.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85" w:name="SIGNATURES_541944"/>
      <w:bookmarkStart w:id="1386" w:name="_879fb92c_8fe7_44ac_9b08_add78f02d47e"/>
      <w:bookmarkEnd w:id="1385"/>
      <w:bookmarkEnd w:id="1386"/>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643" w:type="dxa"/>
        <w:jc w:val="left"/>
        <w:tblInd w:w="0" w:type="dxa"/>
        <w:tblLayout w:type="fixed"/>
        <w:tblCellMar>
          <w:top w:w="0" w:type="dxa"/>
          <w:left w:w="0" w:type="dxa"/>
          <w:bottom w:w="0" w:type="dxa"/>
          <w:right w:w="0" w:type="dxa"/>
        </w:tblCellMar>
      </w:tblPr>
      <w:tblGrid>
        <w:gridCol w:w="1711"/>
        <w:gridCol w:w="676"/>
        <w:gridCol w:w="3256"/>
      </w:tblGrid>
      <w:tr>
        <w:trPr/>
        <w:tc>
          <w:tcPr>
            <w:tcW w:w="1711" w:type="dxa"/>
            <w:tcBorders/>
            <w:vAlign w:val="center"/>
          </w:tcPr>
          <w:p>
            <w:pPr>
              <w:pStyle w:val="TableContents"/>
              <w:bidi w:val="0"/>
              <w:spacing w:before="0" w:after="0"/>
              <w:ind w:left="0" w:right="0" w:hanging="0"/>
              <w:jc w:val="left"/>
              <w:rPr/>
            </w:pPr>
            <w:r>
              <w:rPr/>
              <w:t> </w:t>
            </w:r>
          </w:p>
        </w:tc>
        <w:tc>
          <w:tcPr>
            <w:tcW w:w="3932" w:type="dxa"/>
            <w:gridSpan w:val="2"/>
            <w:tcBorders/>
            <w:vAlign w:val="center"/>
          </w:tcPr>
          <w:p>
            <w:pPr>
              <w:pStyle w:val="TableContents"/>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EAGLE NUCLEAR ENERGY CORP.</w:t>
            </w:r>
          </w:p>
        </w:tc>
      </w:tr>
      <w:tr>
        <w:trPr/>
        <w:tc>
          <w:tcPr>
            <w:tcW w:w="17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left"/>
              <w:rPr/>
            </w:pPr>
            <w:r>
              <w:rPr/>
              <w:t> </w:t>
            </w:r>
          </w:p>
        </w:tc>
        <w:tc>
          <w:tcPr>
            <w:tcW w:w="3256" w:type="dxa"/>
            <w:tcBorders/>
            <w:vAlign w:val="center"/>
          </w:tcPr>
          <w:p>
            <w:pPr>
              <w:pStyle w:val="TableContents"/>
              <w:bidi w:val="0"/>
              <w:spacing w:before="0" w:after="0"/>
              <w:ind w:left="0" w:right="0" w:hanging="0"/>
              <w:jc w:val="left"/>
              <w:rPr/>
            </w:pPr>
            <w:r>
              <w:rPr/>
              <w:t> </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20, 2026</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Manavdeep Mukhija</w:t>
            </w:r>
          </w:p>
        </w:tc>
      </w:tr>
      <w:tr>
        <w:trPr/>
        <w:tc>
          <w:tcPr>
            <w:tcW w:w="17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w:t>
            </w:r>
          </w:p>
        </w:tc>
        <w:tc>
          <w:tcPr>
            <w:tcW w:w="32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Manavdeep Mukhija</w:t>
            </w:r>
          </w:p>
        </w:tc>
      </w:tr>
      <w:tr>
        <w:trPr/>
        <w:tc>
          <w:tcPr>
            <w:tcW w:w="17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Chairman</w:t>
            </w:r>
          </w:p>
        </w:tc>
      </w:tr>
      <w:tr>
        <w:trPr/>
        <w:tc>
          <w:tcPr>
            <w:tcW w:w="17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left"/>
              <w:rPr/>
            </w:pPr>
            <w:r>
              <w:rPr/>
              <w:t> </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240"/>
        <w:ind w:left="0" w:right="0" w:hanging="0"/>
        <w:jc w:val="both"/>
        <w:rPr/>
      </w:pPr>
      <w:r>
        <w:rPr/>
        <w:t>​</w:t>
      </w:r>
    </w:p>
    <w:tbl>
      <w:tblPr>
        <w:tblW w:w="6213" w:type="dxa"/>
        <w:jc w:val="left"/>
        <w:tblInd w:w="0" w:type="dxa"/>
        <w:tblLayout w:type="fixed"/>
        <w:tblCellMar>
          <w:top w:w="0" w:type="dxa"/>
          <w:left w:w="0" w:type="dxa"/>
          <w:bottom w:w="0" w:type="dxa"/>
          <w:right w:w="0" w:type="dxa"/>
        </w:tblCellMar>
      </w:tblPr>
      <w:tblGrid>
        <w:gridCol w:w="1711"/>
        <w:gridCol w:w="676"/>
        <w:gridCol w:w="3826"/>
      </w:tblGrid>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20, 2026</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Ajaypreet Toor</w:t>
            </w:r>
          </w:p>
        </w:tc>
      </w:tr>
      <w:tr>
        <w:trPr/>
        <w:tc>
          <w:tcPr>
            <w:tcW w:w="17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w:t>
            </w:r>
          </w:p>
        </w:tc>
        <w:tc>
          <w:tcPr>
            <w:tcW w:w="38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Ajaypreet Toor</w:t>
            </w:r>
          </w:p>
        </w:tc>
      </w:tr>
      <w:tr>
        <w:trPr/>
        <w:tc>
          <w:tcPr>
            <w:tcW w:w="17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left"/>
              <w:rPr/>
            </w:pPr>
            <w:r>
              <w:rPr/>
              <w:t> </w:t>
            </w:r>
          </w:p>
        </w:tc>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Financing and Accounting Officer)</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0"/>
        <w:ind w:left="0" w:right="0" w:hanging="0"/>
        <w:jc w:val="right"/>
        <w:rPr>
          <w:rFonts w:ascii="Times New Roman;Times;serif" w:hAnsi="Times New Roman;Times;serif"/>
          <w:b/>
          <w:sz w:val="20"/>
        </w:rPr>
      </w:pPr>
      <w:bookmarkStart w:id="1387" w:name="tmb-20260531xex31d1.htm"/>
      <w:bookmarkStart w:id="1388" w:name="kstmb20260531xex31d1"/>
      <w:bookmarkEnd w:id="1387"/>
      <w:bookmarkEnd w:id="1388"/>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SECTION 302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Manavdeep Mukhija, certify that: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Quarterly Report on Form 10-Q for the quarter ended May 31, 2026, of Eagle Nuclear Energy Corp.;</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373" w:type="dxa"/>
        <w:jc w:val="left"/>
        <w:tblInd w:w="0" w:type="dxa"/>
        <w:tblLayout w:type="fixed"/>
        <w:tblCellMar>
          <w:top w:w="0" w:type="dxa"/>
          <w:left w:w="0" w:type="dxa"/>
          <w:bottom w:w="0" w:type="dxa"/>
          <w:right w:w="0" w:type="dxa"/>
        </w:tblCellMar>
      </w:tblPr>
      <w:tblGrid>
        <w:gridCol w:w="1711"/>
        <w:gridCol w:w="406"/>
        <w:gridCol w:w="3256"/>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256" w:type="dxa"/>
            <w:tcBorders/>
            <w:vAlign w:val="center"/>
          </w:tcPr>
          <w:p>
            <w:pPr>
              <w:pStyle w:val="TableContents"/>
              <w:bidi w:val="0"/>
              <w:spacing w:before="0" w:after="283"/>
              <w:ind w:left="0" w:right="0" w:hanging="0"/>
              <w:jc w:val="left"/>
              <w:rPr>
                <w:sz w:val="4"/>
                <w:szCs w:val="4"/>
              </w:rPr>
            </w:pPr>
            <w:r>
              <w:rPr>
                <w:sz w:val="4"/>
                <w:szCs w:val="4"/>
              </w:rPr>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20,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56" w:type="dxa"/>
            <w:tcBorders>
              <w:bottom w:val="single" w:sz="2" w:space="0" w:color="000000"/>
            </w:tcBorders>
            <w:tcMar>
              <w:bottom w:w="3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Manavdeep Mukhija</w:t>
            </w:r>
          </w:p>
        </w:tc>
      </w:tr>
      <w:tr>
        <w:trPr/>
        <w:tc>
          <w:tcPr>
            <w:tcW w:w="171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25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Manavdeep Mukhija</w:t>
            </w:r>
          </w:p>
        </w:tc>
      </w:tr>
      <w:tr>
        <w:trPr/>
        <w:tc>
          <w:tcPr>
            <w:tcW w:w="171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2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 and Chairman</w:t>
            </w:r>
          </w:p>
        </w:tc>
      </w:tr>
      <w:tr>
        <w:trPr/>
        <w:tc>
          <w:tcPr>
            <w:tcW w:w="171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2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89" w:name="tmb-20260531xex31d2.htm"/>
      <w:bookmarkStart w:id="1390" w:name="kstmb20260531xex31d2"/>
      <w:bookmarkEnd w:id="1389"/>
      <w:bookmarkEnd w:id="1390"/>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SECTION 302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Ajaypreet Toor, certify that:</w:t>
      </w:r>
    </w:p>
    <w:p>
      <w:pPr>
        <w:pStyle w:val="TextBody"/>
        <w:bidi w:val="0"/>
        <w:spacing w:before="0" w:after="0"/>
        <w:ind w:left="0" w:right="0" w:hanging="0"/>
        <w:jc w:val="both"/>
        <w:rPr/>
      </w:pPr>
      <w:r>
        <w:rPr/>
        <w:t>​</w:t>
      </w:r>
    </w:p>
    <w:tbl>
      <w:tblPr>
        <w:tblW w:w="9865" w:type="dxa"/>
        <w:jc w:val="left"/>
        <w:tblInd w:w="0" w:type="dxa"/>
        <w:tblLayout w:type="fixed"/>
        <w:tblCellMar>
          <w:top w:w="0" w:type="dxa"/>
          <w:left w:w="0" w:type="dxa"/>
          <w:bottom w:w="0" w:type="dxa"/>
          <w:right w:w="0" w:type="dxa"/>
        </w:tblCellMar>
      </w:tblPr>
      <w:tblGrid>
        <w:gridCol w:w="170"/>
        <w:gridCol w:w="9695"/>
      </w:tblGrid>
      <w:tr>
        <w:trPr/>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6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for the quarter ended May 31, 2026, of Eagle Nuclear Energy Corp.</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883" w:type="dxa"/>
        <w:jc w:val="left"/>
        <w:tblInd w:w="0" w:type="dxa"/>
        <w:tblLayout w:type="fixed"/>
        <w:tblCellMar>
          <w:top w:w="0" w:type="dxa"/>
          <w:left w:w="0" w:type="dxa"/>
          <w:bottom w:w="0" w:type="dxa"/>
          <w:right w:w="0" w:type="dxa"/>
        </w:tblCellMar>
      </w:tblPr>
      <w:tblGrid>
        <w:gridCol w:w="1711"/>
        <w:gridCol w:w="406"/>
        <w:gridCol w:w="3766"/>
      </w:tblGrid>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20,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Ajaypreet Toor</w:t>
            </w:r>
          </w:p>
        </w:tc>
      </w:tr>
      <w:tr>
        <w:trPr/>
        <w:tc>
          <w:tcPr>
            <w:tcW w:w="171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76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Ajaypreet Toor</w:t>
            </w:r>
          </w:p>
        </w:tc>
      </w:tr>
      <w:tr>
        <w:trPr/>
        <w:tc>
          <w:tcPr>
            <w:tcW w:w="171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r>
      <w:tr>
        <w:trPr/>
        <w:tc>
          <w:tcPr>
            <w:tcW w:w="171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91" w:name="tmb-20260531xex32d1.htm"/>
      <w:bookmarkStart w:id="1392" w:name="kstmb20260531xex32d1"/>
      <w:bookmarkEnd w:id="1391"/>
      <w:bookmarkEnd w:id="1392"/>
      <w:r>
        <w:rPr>
          <w:rFonts w:ascii="Times New Roman;Times;serif" w:hAnsi="Times New Roman;Times;serif"/>
          <w:b/>
          <w:sz w:val="20"/>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Eagle Nuclear Energy Corp. (the “Company”) on Form 10-Q for the Quarter ended May 31, 2026, as filed with the Securities and Exchange Commission (the “Report”), I, Manavdeep Mukhija, Chief Executive Officer of the Company, certify, pursuant to 18 U.S.C. §1350, as added by §906 of the Sarbanes-Oxley Act of 2002, that, to my knowledge:</w:t>
      </w:r>
    </w:p>
    <w:p>
      <w:pPr>
        <w:pStyle w:val="TextBody"/>
        <w:bidi w:val="0"/>
        <w:spacing w:before="0" w:after="0"/>
        <w:ind w:left="0" w:right="0" w:hanging="0"/>
        <w:jc w:val="left"/>
        <w:rPr/>
      </w:pPr>
      <w:r>
        <w:rPr/>
        <w:t>​</w:t>
      </w:r>
    </w:p>
    <w:tbl>
      <w:tblPr>
        <w:tblW w:w="9760" w:type="dxa"/>
        <w:jc w:val="left"/>
        <w:tblInd w:w="0" w:type="dxa"/>
        <w:tblLayout w:type="fixed"/>
        <w:tblCellMar>
          <w:top w:w="0" w:type="dxa"/>
          <w:left w:w="0" w:type="dxa"/>
          <w:bottom w:w="0" w:type="dxa"/>
          <w:right w:w="0" w:type="dxa"/>
        </w:tblCellMar>
      </w:tblPr>
      <w:tblGrid>
        <w:gridCol w:w="170"/>
        <w:gridCol w:w="9590"/>
      </w:tblGrid>
      <w:tr>
        <w:trPr/>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5373" w:type="dxa"/>
        <w:jc w:val="left"/>
        <w:tblInd w:w="0" w:type="dxa"/>
        <w:tblLayout w:type="fixed"/>
        <w:tblCellMar>
          <w:top w:w="0" w:type="dxa"/>
          <w:left w:w="0" w:type="dxa"/>
          <w:bottom w:w="0" w:type="dxa"/>
          <w:right w:w="0" w:type="dxa"/>
        </w:tblCellMar>
      </w:tblPr>
      <w:tblGrid>
        <w:gridCol w:w="1711"/>
        <w:gridCol w:w="406"/>
        <w:gridCol w:w="3256"/>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256" w:type="dxa"/>
            <w:tcBorders/>
            <w:vAlign w:val="center"/>
          </w:tcPr>
          <w:p>
            <w:pPr>
              <w:pStyle w:val="TableContents"/>
              <w:bidi w:val="0"/>
              <w:spacing w:before="0" w:after="283"/>
              <w:ind w:left="0" w:right="0" w:hanging="0"/>
              <w:jc w:val="left"/>
              <w:rPr>
                <w:sz w:val="4"/>
                <w:szCs w:val="4"/>
              </w:rPr>
            </w:pPr>
            <w:r>
              <w:rPr>
                <w:sz w:val="4"/>
                <w:szCs w:val="4"/>
              </w:rPr>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20,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5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Manavdeep Mukhija</w:t>
            </w:r>
          </w:p>
        </w:tc>
      </w:tr>
      <w:tr>
        <w:trPr/>
        <w:tc>
          <w:tcPr>
            <w:tcW w:w="171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25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Manavdeep Mukhija</w:t>
            </w:r>
          </w:p>
        </w:tc>
      </w:tr>
      <w:tr>
        <w:trPr/>
        <w:tc>
          <w:tcPr>
            <w:tcW w:w="171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2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 and Chairman</w:t>
            </w:r>
          </w:p>
        </w:tc>
      </w:tr>
      <w:tr>
        <w:trPr/>
        <w:tc>
          <w:tcPr>
            <w:tcW w:w="171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2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93" w:name="tmb-20260531xex32d2.htm"/>
      <w:bookmarkStart w:id="1394" w:name="kstmb20260531xex32d2"/>
      <w:bookmarkEnd w:id="1393"/>
      <w:bookmarkEnd w:id="1394"/>
      <w:r>
        <w:rPr>
          <w:rFonts w:ascii="Times New Roman;Times;serif" w:hAnsi="Times New Roman;Times;serif"/>
          <w:b/>
          <w:sz w:val="20"/>
        </w:rPr>
        <w:t>Exhibit 32.2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Eagle Nuclear Energy Corp. (the “Company”) on Form 10-Q for the Quarterly period ended May 31, 2026, as filed with the Securities and Exchange Commission (the “Report”), I, Ajaypreet Toor, Chief Financial Officer of the Company, certify, pursuant to 18 U.S.C. §1350, as added by §906 of the Sarbanes-Oxley Act of 2002, that, to my knowledge:</w:t>
      </w:r>
    </w:p>
    <w:p>
      <w:pPr>
        <w:pStyle w:val="TextBody"/>
        <w:bidi w:val="0"/>
        <w:spacing w:before="0" w:after="0"/>
        <w:ind w:left="0" w:right="0" w:hanging="0"/>
        <w:jc w:val="left"/>
        <w:rPr/>
      </w:pPr>
      <w:r>
        <w:rPr/>
        <w:t>​</w:t>
      </w:r>
    </w:p>
    <w:tbl>
      <w:tblPr>
        <w:tblW w:w="9760" w:type="dxa"/>
        <w:jc w:val="left"/>
        <w:tblInd w:w="0" w:type="dxa"/>
        <w:tblLayout w:type="fixed"/>
        <w:tblCellMar>
          <w:top w:w="0" w:type="dxa"/>
          <w:left w:w="0" w:type="dxa"/>
          <w:bottom w:w="0" w:type="dxa"/>
          <w:right w:w="0" w:type="dxa"/>
        </w:tblCellMar>
      </w:tblPr>
      <w:tblGrid>
        <w:gridCol w:w="170"/>
        <w:gridCol w:w="9590"/>
      </w:tblGrid>
      <w:tr>
        <w:trPr/>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5883" w:type="dxa"/>
        <w:jc w:val="left"/>
        <w:tblInd w:w="0" w:type="dxa"/>
        <w:tblLayout w:type="fixed"/>
        <w:tblCellMar>
          <w:top w:w="0" w:type="dxa"/>
          <w:left w:w="0" w:type="dxa"/>
          <w:bottom w:w="0" w:type="dxa"/>
          <w:right w:w="0" w:type="dxa"/>
        </w:tblCellMar>
      </w:tblPr>
      <w:tblGrid>
        <w:gridCol w:w="1711"/>
        <w:gridCol w:w="406"/>
        <w:gridCol w:w="3766"/>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20,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Ajaypreet Toor</w:t>
            </w:r>
          </w:p>
        </w:tc>
      </w:tr>
      <w:tr>
        <w:trPr/>
        <w:tc>
          <w:tcPr>
            <w:tcW w:w="171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76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Ajaypreet Toor</w:t>
            </w:r>
          </w:p>
        </w:tc>
      </w:tr>
      <w:tr>
        <w:trPr/>
        <w:tc>
          <w:tcPr>
            <w:tcW w:w="171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r>
      <w:tr>
        <w:trPr/>
        <w:tc>
          <w:tcPr>
            <w:tcW w:w="171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89283/000110465926022330/tm267670d1_ex3-1.htm" TargetMode="External"/><Relationship Id="rId3" Type="http://schemas.openxmlformats.org/officeDocument/2006/relationships/hyperlink" Target="https://www.sec.gov/Archives/edgar/data/2089283/000110465926022330/tm267670d1_ex3-2.htm" TargetMode="External"/><Relationship Id="rId4" Type="http://schemas.openxmlformats.org/officeDocument/2006/relationships/hyperlink" Target="https://www.sec.gov/Archives/edgar/data/2089283/000110465926022330/tm267670d1_ex3-3.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28160</Words>
  <Characters>154134</Characters>
  <CharactersWithSpaces>183495</CharactersWithSpaces>
  <Paragraphs>5225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