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0577d2_424b3.htm"/>
      <w:bookmarkStart w:id="1" w:name="kstm2620577d2_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333-294464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PROSPECTUS SUPPLEMENT NO. 1</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133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33725" cy="60960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Eagle Nuclear Energy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Offering of</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23,422,133 shares of Common Stock Upon the Exercise of Warrants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Up to 5,940,000 shares of Common Stock Upon Conversion of Series A </w:t>
        <w:br/>
        <w:t>Cumulative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Offering of</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30,688,995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11,922,133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prospectus dated April 24, 2026 (as may be further supplemented or amended from time to time, the “Prospectus”), which forms a part of our Registration Statement on Form S-1 (File No. 333-294464).</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Prospectus with the information contained in our Quarterly Report on Form 10-Q for the quarterly period ended May 31, 2026, filed with the U.S. Securities and Exchange Commission on July 20, 2026 (the “Quarterly Report”). Accordingly, we have attached the Quarterly Report to this prospectus supplement.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This prospectus supplement should be read in conjunction with the Prospectus, which is required to be delivered with this prospectus supplement. If there is any inconsistency between the information in the Prospectus and this prospectus supplement, you should rely on the information in this prospectus supplement.</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per share (the “Common Stock”), and warrants to purchase Common Stock (the “Warrants”) are listed on the Nasdaq Capital Market under the symbols “NUCL” and “NUCLW”, respectively. On July 17, 2026, the closing price of our Common Stock was $5.61 per share and the closing price of our Warrants was $0.96 per Warrant. </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such terms are defined under the federal securities laws and, as such, are subject to certain reduced public company reporting requirements.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16 of the Prospectus, and under similar headings in any amendments or supplements to the Prospectus.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the Prospectus. Any representation to the contrary is a criminal offense.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(Mark One)</w:t>
      </w:r>
    </w:p>
    <w:p>
      <w:pPr>
        <w:pStyle w:val="TextBody"/>
        <w:bidi w:val="0"/>
        <w:spacing w:before="0" w:after="120"/>
        <w:ind w:left="0" w:right="0" w:hanging="0"/>
        <w:jc w:val="left"/>
        <w:rPr/>
      </w:pPr>
      <w:r>
        <w:rPr/>
        <w:t>☒ </w:t>
      </w:r>
      <w:r>
        <w:rPr>
          <w:rFonts w:ascii="Times New Roman;Times;serif" w:hAnsi="Times New Roman;Times;serif"/>
          <w:sz w:val="18"/>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 the quarterly period ended May 31, 2026</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OR</w:t>
      </w:r>
    </w:p>
    <w:p>
      <w:pPr>
        <w:pStyle w:val="TextBody"/>
        <w:bidi w:val="0"/>
        <w:spacing w:before="0" w:after="120"/>
        <w:ind w:left="0" w:right="0" w:hanging="0"/>
        <w:jc w:val="left"/>
        <w:rPr/>
      </w:pPr>
      <w:r>
        <w:rPr/>
        <w:t>☐ </w:t>
      </w:r>
      <w:r>
        <w:rPr>
          <w:rFonts w:ascii="Times New Roman;Times;serif" w:hAnsi="Times New Roman;Times;serif"/>
          <w:sz w:val="18"/>
        </w:rPr>
        <w:t>TRANSITION REPORT PURSUANT TO SECTION 13 OR 15(d) OF THE SECURITIES EXCHANGE ACT OF 1934</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For the transition period from __________ to _________</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Commission File Number: 001-43162</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Eagle Nuclear Energy Corp.</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6108" w:type="dxa"/>
        <w:jc w:val="center"/>
        <w:tblInd w:w="0" w:type="dxa"/>
        <w:tblLayout w:type="fixed"/>
        <w:tblCellMar>
          <w:top w:w="0" w:type="dxa"/>
          <w:left w:w="0" w:type="dxa"/>
          <w:bottom w:w="28" w:type="dxa"/>
          <w:right w:w="0" w:type="dxa"/>
        </w:tblCellMar>
      </w:tblPr>
      <w:tblGrid>
        <w:gridCol w:w="3136"/>
        <w:gridCol w:w="346"/>
        <w:gridCol w:w="2626"/>
      </w:tblGrid>
      <w:tr>
        <w:trPr/>
        <w:tc>
          <w:tcPr>
            <w:tcW w:w="31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41-3113978</w:t>
            </w:r>
          </w:p>
        </w:tc>
      </w:tr>
      <w:tr>
        <w:trPr/>
        <w:tc>
          <w:tcPr>
            <w:tcW w:w="313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organization)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tbl>
      <w:tblPr>
        <w:tblW w:w="4158" w:type="dxa"/>
        <w:jc w:val="center"/>
        <w:tblInd w:w="0" w:type="dxa"/>
        <w:tblLayout w:type="fixed"/>
        <w:tblCellMar>
          <w:top w:w="0" w:type="dxa"/>
          <w:left w:w="0" w:type="dxa"/>
          <w:bottom w:w="28" w:type="dxa"/>
          <w:right w:w="0" w:type="dxa"/>
        </w:tblCellMar>
      </w:tblPr>
      <w:tblGrid>
        <w:gridCol w:w="2926"/>
        <w:gridCol w:w="346"/>
        <w:gridCol w:w="886"/>
      </w:tblGrid>
      <w:tr>
        <w:trPr/>
        <w:tc>
          <w:tcPr>
            <w:tcW w:w="29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5470 Kietzke Lane, Suite 300</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Reno, NV</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89511</w:t>
            </w:r>
          </w:p>
        </w:tc>
      </w:tr>
      <w:tr>
        <w:trPr/>
        <w:tc>
          <w:tcPr>
            <w:tcW w:w="29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(775) 335-2029</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5651"/>
        <w:gridCol w:w="346"/>
        <w:gridCol w:w="1282"/>
        <w:gridCol w:w="346"/>
        <w:gridCol w:w="2580"/>
      </w:tblGrid>
      <w:tr>
        <w:trPr/>
        <w:tc>
          <w:tcPr>
            <w:tcW w:w="56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28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565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8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NUCL</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58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Capital Market</w:t>
            </w:r>
          </w:p>
        </w:tc>
      </w:tr>
      <w:tr>
        <w:trPr/>
        <w:tc>
          <w:tcPr>
            <w:tcW w:w="5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Public Warrants, each warrant exercisable for one share of Common Stock at an 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NUCLW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as amended, during the preceding 12 months (or for such shorter period than the registrant was required to file such reports), and (2) has been subject to such filing requirements for the past 90 days. Yes ☐ No ☒</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shell company (as defined in Rule 12b-2 of the Exchange Act). Yes ☐ No ☒</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As of July 20, 2026, there were 29,579,798 shares of the registrant’s common stock issued and outstanding.</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77" w:type="dxa"/>
            <w:gridSpan w:val="2"/>
            <w:tcBorders/>
            <w:shd w:fill="CCEEFF" w:val="clear"/>
            <w:vAlign w:val="center"/>
          </w:tcPr>
          <w:p>
            <w:pPr>
              <w:pStyle w:val="TableContents"/>
              <w:bidi w:val="0"/>
              <w:spacing w:before="0" w:after="0"/>
              <w:ind w:left="0" w:right="0" w:hanging="0"/>
              <w:jc w:val="both"/>
              <w:rPr/>
            </w:pPr>
            <w:hyperlink w:anchor="PARTIFINANCIALINFORMATION_263256">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77" w:type="dxa"/>
            <w:gridSpan w:val="2"/>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844901">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both"/>
              <w:rPr/>
            </w:pPr>
            <w:hyperlink w:anchor="Item1FINANCIALSTATEMENTS_844901">
              <w:r>
                <w:rPr>
                  <w:rStyle w:val="InternetLink"/>
                  <w:rFonts w:ascii="Times New Roman;Times;serif" w:hAnsi="Times New Roman;Times;serif"/>
                  <w:b w:val="false"/>
                  <w:i w:val="false"/>
                  <w:caps w:val="false"/>
                  <w:smallCaps w:val="false"/>
                  <w:sz w:val="20"/>
                </w:rPr>
                <w:t>Financial Statements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757575">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both"/>
              <w:rPr/>
            </w:pPr>
            <w:hyperlink w:anchor="Item4ControlsAndProcedures_757575">
              <w:r>
                <w:rPr>
                  <w:rStyle w:val="InternetLink"/>
                  <w:rFonts w:ascii="Times New Roman;Times;serif" w:hAnsi="Times New Roman;Times;serif"/>
                  <w:b w:val="false"/>
                  <w:i w:val="false"/>
                  <w:caps w:val="false"/>
                  <w:smallCaps w:val="false"/>
                  <w:sz w:val="20"/>
                </w:rPr>
                <w:t>Controls and Procedures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77" w:type="dxa"/>
            <w:gridSpan w:val="2"/>
            <w:tcBorders/>
            <w:shd w:fill="CCEEFF" w:val="clear"/>
            <w:vAlign w:val="center"/>
          </w:tcPr>
          <w:p>
            <w:pPr>
              <w:pStyle w:val="TableContents"/>
              <w:bidi w:val="0"/>
              <w:spacing w:before="0" w:after="0"/>
              <w:ind w:left="0" w:right="0" w:hanging="0"/>
              <w:jc w:val="both"/>
              <w:rPr/>
            </w:pPr>
            <w:hyperlink w:anchor="PARTIIOTHERINFORMATION_259588">
              <w:r>
                <w:rPr>
                  <w:rStyle w:val="InternetLink"/>
                  <w:rFonts w:ascii="Times New Roman;Times;serif" w:hAnsi="Times New Roman;Times;serif"/>
                  <w:b w:val="false"/>
                  <w:i w:val="false"/>
                  <w:caps w:val="false"/>
                  <w:smallCaps w:val="false"/>
                  <w:sz w:val="20"/>
                </w:rPr>
                <w:t>PART II – OTHER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77" w:type="dxa"/>
            <w:gridSpan w:val="2"/>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89591">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both"/>
              <w:rPr/>
            </w:pPr>
            <w:hyperlink w:anchor="Item1LegalProceedings_789591">
              <w:r>
                <w:rPr>
                  <w:rStyle w:val="InternetLink"/>
                  <w:rFonts w:ascii="Times New Roman;Times;serif" w:hAnsi="Times New Roman;Times;serif"/>
                  <w:b w:val="false"/>
                  <w:i w:val="false"/>
                  <w:caps w:val="false"/>
                  <w:smallCaps w:val="false"/>
                  <w:sz w:val="20"/>
                </w:rPr>
                <w:t>Legal Proceedings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186367">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both"/>
              <w:rPr/>
            </w:pPr>
            <w:hyperlink w:anchor="Item1ARiskFactors_186367">
              <w:r>
                <w:rPr>
                  <w:rStyle w:val="InternetLink"/>
                  <w:rFonts w:ascii="Times New Roman;Times;serif" w:hAnsi="Times New Roman;Times;serif"/>
                  <w:b w:val="false"/>
                  <w:i w:val="false"/>
                  <w:caps w:val="false"/>
                  <w:smallCaps w:val="false"/>
                  <w:sz w:val="20"/>
                </w:rPr>
                <w:t>Risk Factors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910652">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both"/>
              <w:rPr/>
            </w:pPr>
            <w:hyperlink w:anchor="Item3DefaultsUponSeniorSecurities_910652">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s_574558">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both"/>
              <w:rPr/>
            </w:pPr>
            <w:hyperlink w:anchor="Item4MineSafetyDisclosures_574558">
              <w:r>
                <w:rPr>
                  <w:rStyle w:val="InternetLink"/>
                  <w:rFonts w:ascii="Times New Roman;Times;serif" w:hAnsi="Times New Roman;Times;serif"/>
                  <w:b w:val="false"/>
                  <w:i w:val="false"/>
                  <w:caps w:val="false"/>
                  <w:smallCaps w:val="false"/>
                  <w:sz w:val="20"/>
                </w:rPr>
                <w:t>Mine Safety Disclosures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695526">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both"/>
              <w:rPr/>
            </w:pPr>
            <w:hyperlink w:anchor="Item5OtherInformation_695526">
              <w:r>
                <w:rPr>
                  <w:rStyle w:val="InternetLink"/>
                  <w:rFonts w:ascii="Times New Roman;Times;serif" w:hAnsi="Times New Roman;Times;serif"/>
                  <w:b w:val="false"/>
                  <w:i w:val="false"/>
                  <w:caps w:val="false"/>
                  <w:smallCaps w:val="false"/>
                  <w:sz w:val="20"/>
                </w:rPr>
                <w:t>Other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810647">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both"/>
              <w:rPr/>
            </w:pPr>
            <w:hyperlink w:anchor="Item6Exhibits_810647">
              <w:r>
                <w:rPr>
                  <w:rStyle w:val="InternetLink"/>
                  <w:rFonts w:ascii="Times New Roman;Times;serif" w:hAnsi="Times New Roman;Times;serif"/>
                  <w:b w:val="false"/>
                  <w:i w:val="false"/>
                  <w:caps w:val="false"/>
                  <w:smallCaps w:val="false"/>
                  <w:sz w:val="20"/>
                </w:rPr>
                <w:t>Exhibits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77" w:type="dxa"/>
            <w:gridSpan w:val="2"/>
            <w:tcBorders/>
            <w:shd w:fill="CCEEFF" w:val="clear"/>
            <w:vAlign w:val="center"/>
          </w:tcPr>
          <w:p>
            <w:pPr>
              <w:pStyle w:val="TableContents"/>
              <w:bidi w:val="0"/>
              <w:spacing w:before="0" w:after="0"/>
              <w:ind w:left="0" w:right="0" w:hanging="0"/>
              <w:jc w:val="both"/>
              <w:rPr/>
            </w:pPr>
            <w:hyperlink w:anchor="SIGNATURES_541944">
              <w:r>
                <w:rPr>
                  <w:rStyle w:val="InternetLink"/>
                  <w:rFonts w:ascii="Times New Roman;Times;serif" w:hAnsi="Times New Roman;Times;serif"/>
                  <w:b w:val="false"/>
                  <w:i w:val="false"/>
                  <w:caps w:val="false"/>
                  <w:smallCaps w:val="false"/>
                  <w:sz w:val="20"/>
                </w:rPr>
                <w:t>SIGNATURES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make statements in this Quarterly Report on Form 10-Q (the “Quarterly Report”) that are forward-looking statements within the meaning of the federal securities laws. The words “believe,” “estimate,” “expect,” “anticipate,” “intend,” “plan,” “seek,” “may,” and similar expressions or statements regarding future periods are intended to identify forward-looking statements. These forward-looking statements involve known and unknown risks, uncertainties and other important factors that could cause our actual results, performance or achievements, or industry results, to differ materially from any predictions of future results, performance or achievements that we express or imply in this Quarterly Report or in the information incorporated by reference into this Quarterly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included in this Quarterly Report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taking into account the information currently available to us, we cannot guarantee future transactions, results, performance, achievements or outcomes, and our actual results and performance could differ materially from those set forth in any forward-looking statements. The cautionary statements set forth in this Quarterly Report identify important factors which you should consider in evaluating our forward-looking statements. These factors include, without limitation: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with limited to no operating history upon which investors can evaluate our future prospects.</w:t>
            </w:r>
          </w:p>
        </w:tc>
      </w:tr>
    </w:tbl>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dependent on additional financing to conduct our business plan.</w:t>
            </w:r>
          </w:p>
        </w:tc>
      </w:tr>
    </w:tbl>
    <w:tbl>
      <w:tblPr>
        <w:tblW w:w="7158" w:type="dxa"/>
        <w:jc w:val="left"/>
        <w:tblInd w:w="0" w:type="dxa"/>
        <w:tblLayout w:type="fixed"/>
        <w:tblCellMar>
          <w:top w:w="0" w:type="dxa"/>
          <w:left w:w="0" w:type="dxa"/>
          <w:bottom w:w="0" w:type="dxa"/>
          <w:right w:w="0" w:type="dxa"/>
        </w:tblCellMar>
      </w:tblPr>
      <w:tblGrid>
        <w:gridCol w:w="23"/>
        <w:gridCol w:w="17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profits or revenues and do not expect to do so in the near term.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uranium prices may adversely affect the economic viability of the Aurora Uranium Project and increase investor dilution.</w:t>
            </w:r>
          </w:p>
        </w:tc>
      </w:tr>
    </w:tbl>
    <w:tbl>
      <w:tblPr>
        <w:tblW w:w="7563" w:type="dxa"/>
        <w:jc w:val="left"/>
        <w:tblInd w:w="0" w:type="dxa"/>
        <w:tblLayout w:type="fixed"/>
        <w:tblCellMar>
          <w:top w:w="0" w:type="dxa"/>
          <w:left w:w="0" w:type="dxa"/>
          <w:bottom w:w="0" w:type="dxa"/>
          <w:right w:w="0" w:type="dxa"/>
        </w:tblCellMar>
      </w:tblPr>
      <w:tblGrid>
        <w:gridCol w:w="23"/>
        <w:gridCol w:w="17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inherent in mineral exploration and development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target customers operate in a politically sensitive environment, and public perception of nuclear energy can affect us and our target customers.</w:t>
            </w:r>
          </w:p>
        </w:tc>
      </w:tr>
    </w:tbl>
    <w:tbl>
      <w:tblPr>
        <w:tblW w:w="9123" w:type="dxa"/>
        <w:jc w:val="left"/>
        <w:tblInd w:w="0" w:type="dxa"/>
        <w:tblLayout w:type="fixed"/>
        <w:tblCellMar>
          <w:top w:w="0" w:type="dxa"/>
          <w:left w:w="0" w:type="dxa"/>
          <w:bottom w:w="0" w:type="dxa"/>
          <w:right w:w="0" w:type="dxa"/>
        </w:tblCellMar>
      </w:tblPr>
      <w:tblGrid>
        <w:gridCol w:w="23"/>
        <w:gridCol w:w="170"/>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the mining and SMR markets could limit our ability to capture and retain market share.</w:t>
            </w:r>
          </w:p>
        </w:tc>
      </w:tr>
    </w:tbl>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acceptance of nuclear energy and competition from other energy sources is unknown.</w:t>
            </w:r>
          </w:p>
        </w:tc>
      </w:tr>
    </w:tbl>
    <w:tbl>
      <w:tblPr>
        <w:tblW w:w="7848" w:type="dxa"/>
        <w:jc w:val="left"/>
        <w:tblInd w:w="0" w:type="dxa"/>
        <w:tblLayout w:type="fixed"/>
        <w:tblCellMar>
          <w:top w:w="0" w:type="dxa"/>
          <w:left w:w="0" w:type="dxa"/>
          <w:bottom w:w="0" w:type="dxa"/>
          <w:right w:w="0" w:type="dxa"/>
        </w:tblCellMar>
      </w:tblPr>
      <w:tblGrid>
        <w:gridCol w:w="23"/>
        <w:gridCol w:w="170"/>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media coverage of mining or nuclear energy could negatively affect our business.</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operations involve a high degree of risk.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Aurora Uranium Project is in the exploration stage, and there is no assurance that we can establish the existence of any mineral reserve in commercially exploitable quantities. Until then, we cannot earn any revenues from the Aurora Uranium Project, and our business could fail.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and mineral exploration are inherently dangerous and subject to conditions or events beyond our control, which could have a material adverse effect on our business and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presents potential health risks, and payment of any liabilities arising from these health risks may adversely impact us.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electricity generated from nuclear sources may not be cost competitive with other electricity generation sources in some markets, which could materially and adversely affect our business.</w:t>
            </w:r>
          </w:p>
        </w:tc>
      </w:tr>
    </w:tbl>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government incentives to use nuclear power may have an adverse impact on the market for SMRs.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SMRs generating nuclear power is not yet established and may not achieve the growth potential we expect or may grow more slowly than expected.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licensed SMR technology is at an early stage, may never achieve commercial viability, and loss of the license would terminate our ability to pursue this business.</w:t>
            </w:r>
          </w:p>
        </w:tc>
      </w:tr>
    </w:tbl>
    <w:tbl>
      <w:tblPr>
        <w:tblW w:w="6153" w:type="dxa"/>
        <w:jc w:val="left"/>
        <w:tblInd w:w="0" w:type="dxa"/>
        <w:tblLayout w:type="fixed"/>
        <w:tblCellMar>
          <w:top w:w="0" w:type="dxa"/>
          <w:left w:w="0" w:type="dxa"/>
          <w:bottom w:w="0" w:type="dxa"/>
          <w:right w:w="0" w:type="dxa"/>
        </w:tblCellMar>
      </w:tblPr>
      <w:tblGrid>
        <w:gridCol w:w="23"/>
        <w:gridCol w:w="170"/>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entirely on a single license for our SMR technology platform.</w:t>
            </w:r>
          </w:p>
        </w:tc>
      </w:tr>
    </w:tbl>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SMR development remains conceptual and faces significant technical risk.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lack the manufacturing infrastructure to scale any future SMR prototype, and early production efforts may cause significant cost overruns and delays.</w:t>
            </w:r>
          </w:p>
        </w:tc>
      </w:tr>
    </w:tbl>
    <w:tbl>
      <w:tblPr>
        <w:tblW w:w="6438" w:type="dxa"/>
        <w:jc w:val="left"/>
        <w:tblInd w:w="0" w:type="dxa"/>
        <w:tblLayout w:type="fixed"/>
        <w:tblCellMar>
          <w:top w:w="0" w:type="dxa"/>
          <w:left w:w="0" w:type="dxa"/>
          <w:bottom w:w="0" w:type="dxa"/>
          <w:right w:w="0" w:type="dxa"/>
        </w:tblCellMar>
      </w:tblPr>
      <w:tblGrid>
        <w:gridCol w:w="23"/>
        <w:gridCol w:w="17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management team may have conflicts of interest.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personnel, an inability to attract and retain additional personnel, or difficulties integrating new members of our management team could affect our ability to successfully grow our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demand for our uranium resources does not develop as expected, our projected revenues and profits will be adversely affected.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Russia’s invasion of Ukraine is severely and unpredictably impacting global energy markets and supply chains, and rising concerns over a second severe nuclear accident in Ukraine could seriously hurt public reception to nuclear energy.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the ongoing wars between Russia and Ukraine, conflicts in the Middle East, economic instability in Venezuela, and the global response thereto, could adversely affect our business, financial condition and results of operations.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number of additional factors could cause actual events, performance or results to differ materially from the events, performance and results discussed in the forward-looking statements. For more information identifying important factors that could cause actual results to differ materially from those anticipated in the forward-looking statements, please refer to the “Risk Factors” section of our Registration Statement on Form S-1 initially filed with the Securities and Exchange Commission (the “SEC”) on March 19, 2026 (File No. 333-294464) (the “Registration Statement”) and the “Risk Factors” section of this Quarterly Report. Our securities filings can be accessed on the EDGAR section of the SEC’s website at www.sec.gov.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are cautioned not to place undue reliance on any forward-looking statements included in this Quarterly Report. All forward-looking statements are made as of the date of this Quarterly Report, and the risk that actual results will differ materially from the expectations expressed in this Quarterly Report will increase with the passage of time. Except as otherwise required by the federal securities laws, we undertake no obligation to publicly update or revise any forward-looking statements after the date of this Quarterly Report, whether as a result of new information, future events, changed circumstances or any other reason. In light of the significant uncertainties inherent in the forward-looking statements included in this Quarterly Report, the inclusion of such forward-looking statements should not be regarded as a representation by us or any other person that the objectives and plans set forth in this Quarterly Report will be achieved.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bookmarkStart w:id="3" w:name="PARTIFINANCIALINFORMATION_263256"/>
      <w:bookmarkEnd w:id="3"/>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bookmarkStart w:id="4" w:name="Item1FINANCIALSTATEMENTS_844901"/>
      <w:bookmarkEnd w:id="4"/>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EAGLE NUCLEAR ENERGY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INTERIM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MAY 31,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mallCaps/>
          <w:sz w:val="20"/>
        </w:rPr>
        <w:t>UNAUDITED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64"/>
        <w:gridCol w:w="541"/>
      </w:tblGrid>
      <w:tr>
        <w:trPr/>
        <w:tc>
          <w:tcPr>
            <w:tcW w:w="9664" w:type="dxa"/>
            <w:tcBorders/>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664" w:type="dxa"/>
            <w:tcBorders/>
            <w:shd w:fill="CCEEFF" w:val="clear"/>
            <w:vAlign w:val="center"/>
          </w:tcPr>
          <w:p>
            <w:pPr>
              <w:pStyle w:val="TableContents"/>
              <w:bidi w:val="0"/>
              <w:spacing w:before="0" w:after="0"/>
              <w:ind w:left="0" w:right="0" w:hanging="0"/>
              <w:jc w:val="both"/>
              <w:rPr/>
            </w:pPr>
            <w:hyperlink w:anchor="CONDENSEDCONSOLIDATEDINTERIMBALANCESHEET">
              <w:r>
                <w:rPr>
                  <w:rStyle w:val="InternetLink"/>
                  <w:rFonts w:ascii="Times New Roman;Times;serif" w:hAnsi="Times New Roman;Times;serif"/>
                  <w:b w:val="false"/>
                  <w:i w:val="false"/>
                  <w:caps w:val="false"/>
                  <w:smallCaps w:val="false"/>
                  <w:sz w:val="20"/>
                </w:rPr>
                <w:t>Condensed Consolidated Interim Balance Sheets as of May 31, 2026 (unaudited) and November 30, 2025</w:t>
              </w:r>
            </w:hyperlink>
          </w:p>
        </w:tc>
        <w:tc>
          <w:tcPr>
            <w:tcW w:w="5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664" w:type="dxa"/>
            <w:tcBorders/>
            <w:vAlign w:val="center"/>
          </w:tcPr>
          <w:p>
            <w:pPr>
              <w:pStyle w:val="TableContents"/>
              <w:bidi w:val="0"/>
              <w:spacing w:before="0" w:after="0"/>
              <w:ind w:left="0" w:right="0" w:hanging="0"/>
              <w:jc w:val="both"/>
              <w:rPr/>
            </w:pPr>
            <w:hyperlink w:anchor="STATEMENTSOFOPERATIONS_90993">
              <w:r>
                <w:rPr>
                  <w:rStyle w:val="InternetLink"/>
                  <w:rFonts w:ascii="Times New Roman;Times;serif" w:hAnsi="Times New Roman;Times;serif"/>
                  <w:b w:val="false"/>
                  <w:i w:val="false"/>
                  <w:caps w:val="false"/>
                  <w:smallCaps w:val="false"/>
                  <w:sz w:val="20"/>
                </w:rPr>
                <w:t>Unaudited Condensed Consolidated Interim Statements of Operations for the Three and Six Months Ended May 31, 2026 and 2025 </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9664" w:type="dxa"/>
            <w:tcBorders/>
            <w:shd w:fill="CCEEFF" w:val="clear"/>
            <w:vAlign w:val="center"/>
          </w:tcPr>
          <w:p>
            <w:pPr>
              <w:pStyle w:val="TableContents"/>
              <w:bidi w:val="0"/>
              <w:spacing w:before="0" w:after="0"/>
              <w:ind w:left="0" w:right="0" w:hanging="0"/>
              <w:jc w:val="both"/>
              <w:rPr/>
            </w:pPr>
            <w:hyperlink w:anchor="equitysixmonthended">
              <w:r>
                <w:rPr>
                  <w:rStyle w:val="InternetLink"/>
                  <w:rFonts w:ascii="Times New Roman;Times;serif" w:hAnsi="Times New Roman;Times;serif"/>
                  <w:b w:val="false"/>
                  <w:i w:val="false"/>
                  <w:caps w:val="false"/>
                  <w:smallCaps w:val="false"/>
                  <w:sz w:val="20"/>
                </w:rPr>
                <w:t>Unaudited Condensed Consolidated Interim Statements of Changes in Stockholders’ Equity (Deficit) for the Six Months Ended May 31, 2026 and 2025</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9664" w:type="dxa"/>
            <w:tcBorders/>
            <w:vAlign w:val="center"/>
          </w:tcPr>
          <w:p>
            <w:pPr>
              <w:pStyle w:val="TableContents"/>
              <w:bidi w:val="0"/>
              <w:spacing w:before="0" w:after="0"/>
              <w:ind w:left="0" w:right="0" w:hanging="0"/>
              <w:jc w:val="both"/>
              <w:rPr/>
            </w:pPr>
            <w:hyperlink w:anchor="equitythreemonthended">
              <w:r>
                <w:rPr>
                  <w:rStyle w:val="InternetLink"/>
                  <w:rFonts w:ascii="Times New Roman;Times;serif" w:hAnsi="Times New Roman;Times;serif"/>
                  <w:b w:val="false"/>
                  <w:i w:val="false"/>
                  <w:caps w:val="false"/>
                  <w:smallCaps w:val="false"/>
                  <w:sz w:val="20"/>
                </w:rPr>
                <w:t>Unaudited Condensed Consolidated Interim Statements of Changes in Stockholders’ Equity (Deficit) for the Three Months Ended May 31, 2026 and 2025</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9664" w:type="dxa"/>
            <w:tcBorders/>
            <w:shd w:fill="CCEEFF" w:val="clear"/>
            <w:vAlign w:val="center"/>
          </w:tcPr>
          <w:p>
            <w:pPr>
              <w:pStyle w:val="TableContents"/>
              <w:bidi w:val="0"/>
              <w:spacing w:before="0" w:after="0"/>
              <w:ind w:left="0" w:right="0" w:hanging="0"/>
              <w:jc w:val="both"/>
              <w:rPr/>
            </w:pPr>
            <w:hyperlink w:anchor="cashflow">
              <w:r>
                <w:rPr>
                  <w:rStyle w:val="InternetLink"/>
                  <w:rFonts w:ascii="Times New Roman;Times;serif" w:hAnsi="Times New Roman;Times;serif"/>
                  <w:b w:val="false"/>
                  <w:i w:val="false"/>
                  <w:caps w:val="false"/>
                  <w:smallCaps w:val="false"/>
                  <w:sz w:val="20"/>
                </w:rPr>
                <w:t>Unaudited Condensed Consolidated Interim Statements of Cash Flows for the Six Months Ended May 31, 2026 and 2025 </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9664" w:type="dxa"/>
            <w:tcBorders/>
            <w:vAlign w:val="center"/>
          </w:tcPr>
          <w:p>
            <w:pPr>
              <w:pStyle w:val="TableContents"/>
              <w:bidi w:val="0"/>
              <w:spacing w:before="0" w:after="0"/>
              <w:ind w:left="0" w:right="0" w:hanging="0"/>
              <w:jc w:val="both"/>
              <w:rPr/>
            </w:pPr>
            <w:hyperlink w:anchor="a1NATUREOFOPERATIONS_692654">
              <w:r>
                <w:rPr>
                  <w:rStyle w:val="InternetLink"/>
                  <w:rFonts w:ascii="Times New Roman;Times;serif" w:hAnsi="Times New Roman;Times;serif"/>
                  <w:b w:val="false"/>
                  <w:i w:val="false"/>
                  <w:caps w:val="false"/>
                  <w:smallCaps w:val="false"/>
                  <w:sz w:val="20"/>
                </w:rPr>
                <w:t>Notes to Unaudited Condensed Consolidated Interim 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INTERIM BALANCE SHEETS</w:t>
      </w:r>
      <w:bookmarkStart w:id="5" w:name="CONDENSEDCONSOLIDATEDINTERIMBALANCESHEET"/>
      <w:bookmarkEnd w:id="5"/>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AS OF MAY 31, 2026 AND NOVEMBER 30, 2025</w:t>
      </w:r>
    </w:p>
    <w:tbl>
      <w:tblPr>
        <w:tblW w:w="10205" w:type="dxa"/>
        <w:jc w:val="center"/>
        <w:tblInd w:w="0" w:type="dxa"/>
        <w:tblLayout w:type="fixed"/>
        <w:tblCellMar>
          <w:top w:w="0" w:type="dxa"/>
          <w:left w:w="0" w:type="dxa"/>
          <w:bottom w:w="0" w:type="dxa"/>
          <w:right w:w="0" w:type="dxa"/>
        </w:tblCellMar>
      </w:tblPr>
      <w:tblGrid>
        <w:gridCol w:w="6750"/>
        <w:gridCol w:w="346"/>
        <w:gridCol w:w="196"/>
        <w:gridCol w:w="990"/>
        <w:gridCol w:w="346"/>
        <w:gridCol w:w="274"/>
        <w:gridCol w:w="1303"/>
      </w:tblGrid>
      <w:tr>
        <w:trPr/>
        <w:tc>
          <w:tcPr>
            <w:tcW w:w="6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286250" cy="175260"/>
                      <wp:effectExtent l="0" t="0" r="0" b="0"/>
                      <wp:wrapNone/>
                      <wp:docPr id="2" name="Frame1"/>
                      <a:graphic xmlns:a="http://schemas.openxmlformats.org/drawingml/2006/main">
                        <a:graphicData uri="http://schemas.microsoft.com/office/word/2010/wordprocessingShape">
                          <wps:wsp>
                            <wps:cNvSpPr txBox="1"/>
                            <wps:spPr>
                              <a:xfrm>
                                <a:off x="0" y="0"/>
                                <a:ext cx="428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8650" cy="175260"/>
                      <wp:effectExtent l="0" t="0" r="0" b="0"/>
                      <wp:wrapNone/>
                      <wp:docPr id="5" name="Frame4"/>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3990" cy="175260"/>
                      <wp:effectExtent l="0" t="0" r="0" b="0"/>
                      <wp:wrapNone/>
                      <wp:docPr id="7" name="Frame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27405" cy="175260"/>
                      <wp:effectExtent l="0" t="0" r="0" b="0"/>
                      <wp:wrapNone/>
                      <wp:docPr id="8" name="Frame7"/>
                      <a:graphic xmlns:a="http://schemas.openxmlformats.org/drawingml/2006/main">
                        <a:graphicData uri="http://schemas.microsoft.com/office/word/2010/wordprocessingShape">
                          <wps:wsp>
                            <wps:cNvSpPr txBox="1"/>
                            <wps:spPr>
                              <a:xfrm>
                                <a:off x="0" y="0"/>
                                <a:ext cx="827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right"/>
              <w:rPr/>
            </w:pPr>
            <w:r>
              <w:rPr/>
              <w:t>  ​ ​ ​</w:t>
            </w:r>
          </w:p>
        </w:tc>
        <w:tc>
          <w:tcPr>
            <w:tcW w:w="15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November 30, 2025</w:t>
            </w:r>
          </w:p>
        </w:tc>
      </w:tr>
      <w:tr>
        <w:trPr/>
        <w:tc>
          <w:tcPr>
            <w:tcW w:w="67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right"/>
              <w:rPr/>
            </w:pPr>
            <w:r>
              <w:rPr/>
              <w:t>  ​ ​ ​</w:t>
            </w:r>
          </w:p>
        </w:tc>
        <w:tc>
          <w:tcPr>
            <w:tcW w:w="15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28,091,090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1,301,928</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898,822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162,897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28,989,912</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1,464,825</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190,960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71,506</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283,877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96,450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65,915</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Mineral rights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12,755,725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1,201,390</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 – operating lease,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701,311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84,326</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43,089,741</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2,887,962</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Mezzanine Equity, and 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783,866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530,339</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280,025</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781,151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140,075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33,155</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1,825,222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843,519</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21,925,000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589,935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55,086</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24,340,157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898,605</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 (Note 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Mezzanine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common stock, $0.0001 par value, 300,000,000 shares authorized; none issued and outstanding as of May 31, 2026 ($0.0001 par value, 350,000,000 shares authorized; 2,750,000 issued and subject to possible redemption at $0.11 per share as of November 30,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A Cumulative Preferred Stock, redeemable, $0.0001 par value, 3,500,000 shares authorized; 29,700 shares issued and subject to possible redemption beginning February 24, 2031 at $1,000 per share plus accrued and unpaid dividends, as of May 31, 2026 ($0.0001 par value, 50,000,000 shares authorized; none as of November 30,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25,729,800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300,000,000 shares authorized; 29,579,798 shares issued and outstanding as of May 31, 2026 ($0.0001 par value, 350,000,000 shares authorized; 18,888,289 shares, excluding 2,750,000 shares subject to possible redemption as of November 30,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3,500,000 shares authorized; none issued and outstanding, excluding 29,700 shares subject to possible redemption as of May 31, 2026 ($0.0001 par value, 50,000,000 shares authorized; none as of November 30,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26,612,495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7,968,157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(33,595,669)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(6,280,689)</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(6,980,216)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1,689,357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43,089,741</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2,887,962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(1)</w:t>
            </w:r>
          </w:p>
        </w:tc>
        <w:tc>
          <w:tcPr>
            <w:tcW w:w="9999"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INTERIM STATEMENTS OF OPERATIONS</w:t>
      </w:r>
      <w:bookmarkStart w:id="6" w:name="STATEMENTSOFOPERATIONS_90993"/>
      <w:bookmarkEnd w:id="6"/>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tbl>
      <w:tblPr>
        <w:tblW w:w="10205" w:type="dxa"/>
        <w:jc w:val="center"/>
        <w:tblInd w:w="0" w:type="dxa"/>
        <w:tblLayout w:type="fixed"/>
        <w:tblCellMar>
          <w:top w:w="0" w:type="dxa"/>
          <w:left w:w="0" w:type="dxa"/>
          <w:bottom w:w="0" w:type="dxa"/>
          <w:right w:w="0" w:type="dxa"/>
        </w:tblCellMar>
      </w:tblPr>
      <w:tblGrid>
        <w:gridCol w:w="3578"/>
        <w:gridCol w:w="346"/>
        <w:gridCol w:w="226"/>
        <w:gridCol w:w="1119"/>
        <w:gridCol w:w="346"/>
        <w:gridCol w:w="211"/>
        <w:gridCol w:w="1041"/>
        <w:gridCol w:w="346"/>
        <w:gridCol w:w="211"/>
        <w:gridCol w:w="1119"/>
        <w:gridCol w:w="346"/>
        <w:gridCol w:w="226"/>
        <w:gridCol w:w="1090"/>
      </w:tblGrid>
      <w:tr>
        <w:trPr/>
        <w:tc>
          <w:tcPr>
            <w:tcW w:w="3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72030" cy="175260"/>
                      <wp:effectExtent l="0" t="0" r="0" b="0"/>
                      <wp:wrapNone/>
                      <wp:docPr id="9" name="Frame8"/>
                      <a:graphic xmlns:a="http://schemas.openxmlformats.org/drawingml/2006/main">
                        <a:graphicData uri="http://schemas.microsoft.com/office/word/2010/wordprocessingShape">
                          <wps:wsp>
                            <wps:cNvSpPr txBox="1"/>
                            <wps:spPr>
                              <a:xfrm>
                                <a:off x="0" y="0"/>
                                <a:ext cx="2272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3510" cy="175260"/>
                      <wp:effectExtent l="0" t="0" r="0" b="0"/>
                      <wp:wrapNone/>
                      <wp:docPr id="11"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10565" cy="175260"/>
                      <wp:effectExtent l="0" t="0" r="0" b="0"/>
                      <wp:wrapNone/>
                      <wp:docPr id="12" name="Frame11"/>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1035" cy="175260"/>
                      <wp:effectExtent l="0" t="0" r="0" b="0"/>
                      <wp:wrapNone/>
                      <wp:docPr id="15" name="Frame14"/>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10565" cy="175260"/>
                      <wp:effectExtent l="0" t="0" r="0" b="0"/>
                      <wp:wrapNone/>
                      <wp:docPr id="18" name="Frame17"/>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20"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0" cy="175260"/>
                      <wp:effectExtent l="0" t="0" r="0" b="0"/>
                      <wp:wrapNone/>
                      <wp:docPr id="21" name="Frame20"/>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2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3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1"/>
              <w:ind w:left="0" w:right="0" w:hanging="0"/>
              <w:jc w:val="right"/>
              <w:rPr/>
            </w:pPr>
            <w:r>
              <w:rPr/>
              <w:t>  ​ ​ ​</w:t>
            </w:r>
          </w:p>
        </w:tc>
        <w:tc>
          <w:tcPr>
            <w:tcW w:w="13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w: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2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3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right"/>
              <w:rPr/>
            </w:pPr>
            <w:r>
              <w:rPr/>
              <w:t>  ​ ​ ​</w:t>
            </w:r>
          </w:p>
        </w:tc>
        <w:tc>
          <w:tcPr>
            <w:tcW w:w="13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2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3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right"/>
              <w:rPr/>
            </w:pPr>
            <w:r>
              <w:rPr/>
              <w:t>​</w:t>
            </w:r>
          </w:p>
        </w:tc>
        <w:tc>
          <w:tcPr>
            <w:tcW w:w="13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63,983</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91,580</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1,213,453</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80,856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48,943</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236,509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170,706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287,971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269,552</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(7,307,441)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(1,020,946)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(8,769,544)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(1,687,511)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lef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  ​</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(17,754,506)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(17,764,285)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(4,590)</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(25,061,947)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(1,025,106)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(26,533,829)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(1,692,101)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dividends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(25,810,550)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(1,025,106)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(27,314,980)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(1,692,101)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 common stock – Basic and diluted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29,657,841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17,717,143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24,567,206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17,252,802</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common stock – Basic and diluted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INTERIM STATEMENTS OF CHANGES IN STOCKHOLDERS’ EQUITY (DEFICIT)</w:t>
      </w:r>
      <w:bookmarkStart w:id="7" w:name="equitysixmonthended"/>
      <w:bookmarkEnd w:id="7"/>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SIX MONTHS ENDED MAY 31, 2026 AND 2025 (UNAUDITED)</w:t>
      </w:r>
    </w:p>
    <w:tbl>
      <w:tblPr>
        <w:tblW w:w="10205" w:type="dxa"/>
        <w:jc w:val="center"/>
        <w:tblInd w:w="0" w:type="dxa"/>
        <w:tblLayout w:type="fixed"/>
        <w:tblCellMar>
          <w:top w:w="0" w:type="dxa"/>
          <w:left w:w="0" w:type="dxa"/>
          <w:bottom w:w="0" w:type="dxa"/>
          <w:right w:w="0" w:type="dxa"/>
        </w:tblCellMar>
      </w:tblPr>
      <w:tblGrid>
        <w:gridCol w:w="1849"/>
        <w:gridCol w:w="346"/>
        <w:gridCol w:w="916"/>
        <w:gridCol w:w="346"/>
        <w:gridCol w:w="226"/>
        <w:gridCol w:w="511"/>
        <w:gridCol w:w="346"/>
        <w:gridCol w:w="229"/>
        <w:gridCol w:w="929"/>
        <w:gridCol w:w="346"/>
        <w:gridCol w:w="227"/>
        <w:gridCol w:w="768"/>
        <w:gridCol w:w="346"/>
        <w:gridCol w:w="226"/>
        <w:gridCol w:w="987"/>
        <w:gridCol w:w="346"/>
        <w:gridCol w:w="226"/>
        <w:gridCol w:w="1035"/>
      </w:tblGrid>
      <w:tr>
        <w:trPr/>
        <w:tc>
          <w:tcPr>
            <w:tcW w:w="1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74115" cy="175260"/>
                      <wp:effectExtent l="0" t="0" r="0" b="0"/>
                      <wp:wrapNone/>
                      <wp:docPr id="22" name="Frame21"/>
                      <a:graphic xmlns:a="http://schemas.openxmlformats.org/drawingml/2006/main">
                        <a:graphicData uri="http://schemas.microsoft.com/office/word/2010/wordprocessingShape">
                          <wps:wsp>
                            <wps:cNvSpPr txBox="1"/>
                            <wps:spPr>
                              <a:xfrm>
                                <a:off x="0" y="0"/>
                                <a:ext cx="1174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660" cy="175260"/>
                      <wp:effectExtent l="0" t="0" r="0" b="0"/>
                      <wp:wrapNone/>
                      <wp:docPr id="24" name="Frame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4485" cy="175260"/>
                      <wp:effectExtent l="0" t="0" r="0" b="0"/>
                      <wp:wrapNone/>
                      <wp:docPr id="27" name="Frame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5415" cy="175260"/>
                      <wp:effectExtent l="0" t="0" r="0" b="0"/>
                      <wp:wrapNone/>
                      <wp:docPr id="29" name="Frame2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89915" cy="175260"/>
                      <wp:effectExtent l="0" t="0" r="0" b="0"/>
                      <wp:wrapNone/>
                      <wp:docPr id="30" name="Frame2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4145" cy="175260"/>
                      <wp:effectExtent l="0" t="0" r="0" b="0"/>
                      <wp:wrapNone/>
                      <wp:docPr id="32" name="Frame3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7680" cy="175260"/>
                      <wp:effectExtent l="0" t="0" r="0" b="0"/>
                      <wp:wrapNone/>
                      <wp:docPr id="33" name="Frame32"/>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26745" cy="175260"/>
                      <wp:effectExtent l="0" t="0" r="0" b="0"/>
                      <wp:wrapNone/>
                      <wp:docPr id="36" name="Frame35"/>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38"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57225" cy="175260"/>
                      <wp:effectExtent l="0" t="0" r="0" b="0"/>
                      <wp:wrapNone/>
                      <wp:docPr id="39" name="Frame38"/>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9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98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 to</w:t>
            </w:r>
          </w:p>
        </w:tc>
        <w:tc>
          <w:tcPr>
            <w:tcW w:w="346" w:type="dxa"/>
            <w:tcBorders/>
            <w:vAlign w:val="center"/>
          </w:tcPr>
          <w:p>
            <w:pPr>
              <w:pStyle w:val="TableContents"/>
              <w:bidi w:val="0"/>
              <w:spacing w:before="0" w:after="1"/>
              <w:ind w:left="0" w:right="0" w:hanging="0"/>
              <w:jc w:val="center"/>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Shares</w:t>
            </w:r>
          </w:p>
        </w:tc>
        <w:tc>
          <w:tcPr>
            <w:tcW w:w="346" w:type="dxa"/>
            <w:tcBorders/>
            <w:vAlign w:val="center"/>
          </w:tcPr>
          <w:p>
            <w:pPr>
              <w:pStyle w:val="TableContents"/>
              <w:bidi w:val="0"/>
              <w:spacing w:before="0" w:after="1"/>
              <w:ind w:left="0" w:right="0" w:hanging="0"/>
              <w:jc w:val="center"/>
              <w:rPr/>
            </w:pPr>
            <w:r>
              <w:rPr/>
              <w:t>  ​ ​ ​</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November 30, 2024</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16,452,690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w:t>
            </w:r>
          </w:p>
        </w:tc>
        <w:tc>
          <w:tcPr>
            <w:tcW w:w="34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227,093</w:t>
            </w:r>
          </w:p>
        </w:tc>
        <w:tc>
          <w:tcPr>
            <w:tcW w:w="346" w:type="dxa"/>
            <w:tcBorders/>
            <w:shd w:fill="CCEEFF" w:val="clear"/>
            <w:vAlign w:val="center"/>
          </w:tcPr>
          <w:p>
            <w:pPr>
              <w:pStyle w:val="TableContents"/>
              <w:bidi w:val="0"/>
              <w:spacing w:before="0" w:after="1"/>
              <w:ind w:left="0" w:right="0" w:hanging="0"/>
              <w:jc w:val="center"/>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167,750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(1,020,057)</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(623,569)</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2,252,083</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8,015,622</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8,015,421</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to consultants</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85,690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304,992</w:t>
            </w:r>
          </w:p>
        </w:tc>
        <w:tc>
          <w:tcPr>
            <w:tcW w:w="346" w:type="dxa"/>
            <w:tcBorders/>
            <w:shd w:fill="CCEEFF" w:val="clear"/>
            <w:vAlign w:val="center"/>
          </w:tcPr>
          <w:p>
            <w:pPr>
              <w:pStyle w:val="TableContents"/>
              <w:bidi w:val="0"/>
              <w:spacing w:before="0" w:after="1"/>
              <w:ind w:left="0" w:right="0" w:hanging="0"/>
              <w:jc w:val="center"/>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(167,750)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137,250</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issuance costs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97,826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(577,130)</w:t>
            </w:r>
          </w:p>
        </w:tc>
        <w:tc>
          <w:tcPr>
            <w:tcW w:w="34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(577,120)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(1,692,101)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(1,692,101)</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18,888,289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1,889</w:t>
            </w:r>
          </w:p>
        </w:tc>
        <w:tc>
          <w:tcPr>
            <w:tcW w:w="346" w:type="dxa"/>
            <w:tcBorders/>
            <w:vAlign w:val="center"/>
          </w:tcPr>
          <w:p>
            <w:pPr>
              <w:pStyle w:val="TableContents"/>
              <w:bidi w:val="0"/>
              <w:spacing w:before="0" w:after="1"/>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7,970,577</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(2,712,158)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5,259,881</w:t>
            </w:r>
          </w:p>
        </w:tc>
      </w:tr>
      <w:tr>
        <w:trPr/>
        <w:tc>
          <w:tcPr>
            <w:tcW w:w="18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w:t>
            </w:r>
          </w:p>
        </w:tc>
      </w:tr>
      <w:tr>
        <w:trPr/>
        <w:tc>
          <w:tcPr>
            <w:tcW w:w="18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November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18,888,289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1,889</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7,968,157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(6,280,689)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1,689,357</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redeemable common stock</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2,750,000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299,725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6,230,033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1,990,561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1,991,184</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 for acquisition of Oregon Energy LLC</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1,710,991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11,959,656</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11,959,827</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(204,076)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(204,076)</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Correction of share issuance</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for warrant exercises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Options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RSUs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(27,314,980)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(27,314,980)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29,579,798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2,958</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26,612,495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(33,595,669)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(6,980,216)</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EAGLE NUCLEAR ENERGY CORP.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INTERIM STATEMENTS OF CHANGES IN STOCKHOLDERS’ EQUITY (DEFICIT)</w:t>
      </w:r>
      <w:bookmarkStart w:id="8" w:name="equitythreemonthended"/>
      <w:bookmarkEnd w:id="8"/>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MONTHS ENDED MAY 31, 2026 AND 2025 (UNAUDITED)</w:t>
      </w:r>
    </w:p>
    <w:tbl>
      <w:tblPr>
        <w:tblW w:w="10205" w:type="dxa"/>
        <w:jc w:val="center"/>
        <w:tblInd w:w="0" w:type="dxa"/>
        <w:tblLayout w:type="fixed"/>
        <w:tblCellMar>
          <w:top w:w="0" w:type="dxa"/>
          <w:left w:w="0" w:type="dxa"/>
          <w:bottom w:w="0" w:type="dxa"/>
          <w:right w:w="0" w:type="dxa"/>
        </w:tblCellMar>
      </w:tblPr>
      <w:tblGrid>
        <w:gridCol w:w="1457"/>
        <w:gridCol w:w="346"/>
        <w:gridCol w:w="917"/>
        <w:gridCol w:w="346"/>
        <w:gridCol w:w="196"/>
        <w:gridCol w:w="511"/>
        <w:gridCol w:w="346"/>
        <w:gridCol w:w="346"/>
        <w:gridCol w:w="916"/>
        <w:gridCol w:w="346"/>
        <w:gridCol w:w="346"/>
        <w:gridCol w:w="890"/>
        <w:gridCol w:w="346"/>
        <w:gridCol w:w="346"/>
        <w:gridCol w:w="980"/>
        <w:gridCol w:w="346"/>
        <w:gridCol w:w="196"/>
        <w:gridCol w:w="1028"/>
      </w:tblGrid>
      <w:tr>
        <w:trPr/>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25195" cy="175260"/>
                      <wp:effectExtent l="0" t="0" r="0" b="0"/>
                      <wp:wrapNone/>
                      <wp:docPr id="40" name="Frame39"/>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2295" cy="175260"/>
                      <wp:effectExtent l="0" t="0" r="0" b="0"/>
                      <wp:wrapNone/>
                      <wp:docPr id="42" name="Frame4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24485" cy="175260"/>
                      <wp:effectExtent l="0" t="0" r="0" b="0"/>
                      <wp:wrapNone/>
                      <wp:docPr id="45" name="Frame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81660" cy="175260"/>
                      <wp:effectExtent l="0" t="0" r="0" b="0"/>
                      <wp:wrapNone/>
                      <wp:docPr id="48" name="Frame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5150" cy="175260"/>
                      <wp:effectExtent l="0" t="0" r="0" b="0"/>
                      <wp:wrapNone/>
                      <wp:docPr id="51" name="Frame50"/>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22300" cy="175260"/>
                      <wp:effectExtent l="0" t="0" r="0" b="0"/>
                      <wp:wrapNone/>
                      <wp:docPr id="54" name="Frame53"/>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2780" cy="175260"/>
                      <wp:effectExtent l="0" t="0" r="0" b="0"/>
                      <wp:wrapNone/>
                      <wp:docPr id="57" name="Frame56"/>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7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7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Obligation to </w:t>
            </w:r>
          </w:p>
        </w:tc>
        <w:tc>
          <w:tcPr>
            <w:tcW w:w="346" w:type="dxa"/>
            <w:tcBorders/>
            <w:vAlign w:val="center"/>
          </w:tcPr>
          <w:p>
            <w:pPr>
              <w:pStyle w:val="TableContents"/>
              <w:bidi w:val="0"/>
              <w:spacing w:before="0" w:after="1"/>
              <w:ind w:left="0" w:right="0" w:hanging="0"/>
              <w:jc w:val="center"/>
              <w:rPr/>
            </w:pPr>
            <w:r>
              <w:rPr/>
              <w:t>​</w:t>
            </w:r>
          </w:p>
        </w:tc>
        <w:tc>
          <w:tcPr>
            <w:tcW w:w="13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center"/>
              <w:rPr/>
            </w:pPr>
            <w:r>
              <w:rPr/>
              <w:t>​</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4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  ​ ​ ​</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Shares</w:t>
            </w:r>
          </w:p>
        </w:tc>
        <w:tc>
          <w:tcPr>
            <w:tcW w:w="346" w:type="dxa"/>
            <w:tcBorders/>
            <w:vAlign w:val="center"/>
          </w:tcPr>
          <w:p>
            <w:pPr>
              <w:pStyle w:val="TableContents"/>
              <w:bidi w:val="0"/>
              <w:spacing w:before="0" w:after="1"/>
              <w:ind w:left="0" w:right="0" w:hanging="0"/>
              <w:jc w:val="center"/>
              <w:rPr/>
            </w:pPr>
            <w:r>
              <w:rPr/>
              <w:t>  ​ ​ ​</w:t>
            </w:r>
          </w:p>
        </w:tc>
        <w:tc>
          <w:tcPr>
            <w:tcW w:w="13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2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February 28, 2025</w:t>
            </w:r>
          </w:p>
        </w:tc>
        <w:tc>
          <w:tcPr>
            <w:tcW w:w="346" w:type="dxa"/>
            <w:tcBorders/>
            <w:shd w:fill="CCEEFF" w:val="clear"/>
            <w:vAlign w:val="center"/>
          </w:tcPr>
          <w:p>
            <w:pPr>
              <w:pStyle w:val="TableContents"/>
              <w:bidi w:val="0"/>
              <w:spacing w:before="0" w:after="1"/>
              <w:ind w:left="0" w:right="0" w:hanging="0"/>
              <w:jc w:val="center"/>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16,816,111</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1,681</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1,483,144</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1,350,470</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(1,687,052)</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1,148,243</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w:t>
            </w:r>
          </w:p>
        </w:tc>
        <w:tc>
          <w:tcPr>
            <w:tcW w:w="346" w:type="dxa"/>
            <w:tcBorders/>
            <w:vAlign w:val="center"/>
          </w:tcPr>
          <w:p>
            <w:pPr>
              <w:pStyle w:val="TableContents"/>
              <w:bidi w:val="0"/>
              <w:spacing w:before="0" w:after="1"/>
              <w:ind w:left="0" w:right="0" w:hanging="0"/>
              <w:jc w:val="center"/>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1,940,076</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6,905,124</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(1,350,897)</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5,554,422</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to consultants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34,276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121,997</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122,000</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issuance costs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97,826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(539,688)</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(539,678)</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(1,025,106)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(1,025,106)</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2025</w:t>
            </w:r>
          </w:p>
        </w:tc>
        <w:tc>
          <w:tcPr>
            <w:tcW w:w="346" w:type="dxa"/>
            <w:tcBorders/>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18,888,289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7,970,577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(2,712,158)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5,259,881</w:t>
            </w:r>
          </w:p>
        </w:tc>
      </w:tr>
      <w:tr>
        <w:trPr/>
        <w:tc>
          <w:tcPr>
            <w:tcW w:w="14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February 28, 2026</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29,579,313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22,209,619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(7,785,119)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14,427,458</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redeemable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 for acquisition of Oregon Energy LLC</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(195,596)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(195,596)</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Correction of share issuance</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for warrant exercises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RSUs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(25,810,550)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(25,810,550)</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2026</w:t>
            </w:r>
          </w:p>
        </w:tc>
        <w:tc>
          <w:tcPr>
            <w:tcW w:w="346" w:type="dxa"/>
            <w:tcBorders/>
            <w:vAlign w:val="center"/>
          </w:tcPr>
          <w:p>
            <w:pPr>
              <w:pStyle w:val="TableContents"/>
              <w:bidi w:val="0"/>
              <w:spacing w:before="0" w:after="1"/>
              <w:ind w:left="0" w:right="0" w:hanging="0"/>
              <w:jc w:val="left"/>
              <w:rPr/>
            </w:pPr>
            <w:r>
              <w:rPr/>
              <w:t> </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29,579,798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2,958</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26,612,495</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(33,595,669)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(6,980,216)</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72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INTERIM STATEMENTS OF CASH FLOWS</w:t>
      </w:r>
      <w:bookmarkStart w:id="9" w:name="cashflow"/>
      <w:bookmarkStart w:id="10" w:name="CONDENSEDCONSOLIDATEDINTERIMSTATEMENTSOF"/>
      <w:bookmarkEnd w:id="9"/>
      <w:bookmarkEnd w:id="10"/>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SIX MONTHS ENDED MAY 31, 2026 AND 2025 (UNAUDITED)</w:t>
      </w:r>
    </w:p>
    <w:tbl>
      <w:tblPr>
        <w:tblW w:w="10205" w:type="dxa"/>
        <w:jc w:val="center"/>
        <w:tblInd w:w="0" w:type="dxa"/>
        <w:tblLayout w:type="fixed"/>
        <w:tblCellMar>
          <w:top w:w="0" w:type="dxa"/>
          <w:left w:w="0" w:type="dxa"/>
          <w:bottom w:w="0" w:type="dxa"/>
          <w:right w:w="0" w:type="dxa"/>
        </w:tblCellMar>
      </w:tblPr>
      <w:tblGrid>
        <w:gridCol w:w="6366"/>
        <w:gridCol w:w="346"/>
        <w:gridCol w:w="290"/>
        <w:gridCol w:w="1260"/>
        <w:gridCol w:w="346"/>
        <w:gridCol w:w="311"/>
        <w:gridCol w:w="1286"/>
      </w:tblGrid>
      <w:tr>
        <w:trPr/>
        <w:tc>
          <w:tcPr>
            <w:tcW w:w="6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42410" cy="175260"/>
                      <wp:effectExtent l="0" t="0" r="0" b="0"/>
                      <wp:wrapNone/>
                      <wp:docPr id="58" name="Frame57"/>
                      <a:graphic xmlns:a="http://schemas.openxmlformats.org/drawingml/2006/main">
                        <a:graphicData uri="http://schemas.microsoft.com/office/word/2010/wordprocessingShape">
                          <wps:wsp>
                            <wps:cNvSpPr txBox="1"/>
                            <wps:spPr>
                              <a:xfrm>
                                <a:off x="0" y="0"/>
                                <a:ext cx="404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84150" cy="175260"/>
                      <wp:effectExtent l="0" t="0" r="0" b="0"/>
                      <wp:wrapNone/>
                      <wp:docPr id="60" name="Frame5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800100" cy="175260"/>
                      <wp:effectExtent l="0" t="0" r="0" b="0"/>
                      <wp:wrapNone/>
                      <wp:docPr id="61" name="Frame60"/>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97485" cy="175260"/>
                      <wp:effectExtent l="0" t="0" r="0" b="0"/>
                      <wp:wrapNone/>
                      <wp:docPr id="63" name="Frame6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816610" cy="175260"/>
                      <wp:effectExtent l="0" t="0" r="0" b="0"/>
                      <wp:wrapNone/>
                      <wp:docPr id="64" name="Frame63"/>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5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before="0" w:after="0"/>
              <w:ind w:left="0" w:right="0" w:hanging="0"/>
              <w:jc w:val="right"/>
              <w:rPr/>
            </w:pPr>
            <w:r>
              <w:rPr/>
              <w:t>  ​ ​ ​</w:t>
            </w:r>
          </w:p>
        </w:tc>
        <w:tc>
          <w:tcPr>
            <w:tcW w:w="15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6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2026</w:t>
            </w:r>
          </w:p>
        </w:tc>
        <w:tc>
          <w:tcPr>
            <w:tcW w:w="346" w:type="dxa"/>
            <w:tcBorders/>
            <w:vAlign w:val="center"/>
          </w:tcPr>
          <w:p>
            <w:pPr>
              <w:pStyle w:val="TableContents"/>
              <w:bidi w:val="0"/>
              <w:spacing w:before="0" w:after="0"/>
              <w:ind w:left="0" w:right="0" w:hanging="0"/>
              <w:jc w:val="right"/>
              <w:rPr/>
            </w:pPr>
            <w:r>
              <w:rPr/>
              <w:t>  ​ ​ ​</w:t>
            </w:r>
          </w:p>
        </w:tc>
        <w:tc>
          <w:tcPr>
            <w:tcW w:w="1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2025</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2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1" w:type="dxa"/>
            <w:tcBorders/>
            <w:shd w:fill="CCEEFF" w:val="clear"/>
            <w:vAlign w:val="center"/>
          </w:tcPr>
          <w:p>
            <w:pPr>
              <w:pStyle w:val="TableContents"/>
              <w:bidi w:val="0"/>
              <w:spacing w:before="0" w:after="0"/>
              <w:ind w:left="0" w:right="0" w:hanging="0"/>
              <w:jc w:val="left"/>
              <w:rPr/>
            </w:pPr>
            <w:r>
              <w:rPr/>
              <w:t>  ​</w:t>
            </w:r>
          </w:p>
        </w:tc>
        <w:tc>
          <w:tcPr>
            <w:tcW w:w="1286" w:type="dxa"/>
            <w:tcBorders/>
            <w:shd w:fill="CCEEFF" w:val="clear"/>
            <w:vAlign w:val="center"/>
          </w:tcPr>
          <w:p>
            <w:pPr>
              <w:pStyle w:val="TableContents"/>
              <w:bidi w:val="0"/>
              <w:spacing w:before="0" w:after="0"/>
              <w:ind w:left="0" w:right="0" w:hanging="0"/>
              <w:jc w:val="center"/>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vAlign w:val="center"/>
          </w:tcPr>
          <w:p>
            <w:pPr>
              <w:pStyle w:val="TableContents"/>
              <w:bidi w:val="0"/>
              <w:spacing w:before="0" w:after="0"/>
              <w:ind w:left="0" w:right="0" w:hanging="0"/>
              <w:jc w:val="center"/>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(27,314,980)</w:t>
            </w:r>
          </w:p>
        </w:tc>
        <w:tc>
          <w:tcPr>
            <w:tcW w:w="346" w:type="dxa"/>
            <w:tcBorders/>
            <w:vAlign w:val="center"/>
          </w:tcPr>
          <w:p>
            <w:pPr>
              <w:pStyle w:val="TableContents"/>
              <w:bidi w:val="0"/>
              <w:spacing w:before="0" w:after="0"/>
              <w:ind w:left="0" w:right="0" w:hanging="0"/>
              <w:jc w:val="center"/>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(1,692,101)</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attributable to common stockholders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  ​</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8,026</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17,750,724</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foreign currency transactions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23,648</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consulting fees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17,874</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781,151</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4,596,172</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171,677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50,911</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(581,992)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(119,939)</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(159,895)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(200,998)</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(4,711,877)</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(1,944,253)</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(47,967)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intangible assets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(11,925)</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Investment in mineral rights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(600,000)</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assumed on acquisition of Oregon Energy LLC </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141,262</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63,215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(600,000)</w:t>
            </w:r>
          </w:p>
        </w:tc>
      </w:tr>
      <w:tr>
        <w:trPr/>
        <w:tc>
          <w:tcPr>
            <w:tcW w:w="6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lef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  ​</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net of issuance costs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7,438,301</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PIPE financing</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29,700,000</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assumed on reverse recapitalization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1,939,457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31,641,757</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7,438,301</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Effects of foreign exchange on cash</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(12,973)</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Increase in cash</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26,980,122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4,894,048</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1,301,928</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end of period</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28,282,050</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4,894,765</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Presented as:</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28,091,090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4,894,765</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190,960</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28,282,050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4,894,765</w:t>
            </w:r>
          </w:p>
        </w:tc>
      </w:tr>
      <w:tr>
        <w:trPr/>
        <w:tc>
          <w:tcPr>
            <w:tcW w:w="6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Supplemental disclosure of non-cash information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issuance costs in accounts payable </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14,540</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issuance costs settled in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2,097,000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348,194</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issuance for acquisition of Oregon Energy LLC</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11,959,827</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redeemable common stock into nonredeemable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1,991,184</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204,076</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 assets in accounts payable</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20,534</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paid by issuance of shares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122,000</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Consultant bonus settled by issuance of bonus shares</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183,200</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bookmarkStart w:id="11" w:name="a1NATUREOFOPERATIONS_692654"/>
      <w:bookmarkEnd w:id="11"/>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Eagle Nuclear Energy Corp. (the “Company”) was incorporated on December 19, 2025, under the laws of the state of Nevada. The Company’s corporate office is located at 5470 Kietzke Lane, Suite 300, Reno, NV 89511.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not yet commenced its principal operations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was incorporated as a subsidiary of Spring Valley Acquisition Corp. II (“SVII”), a special purpose acquisition corporation incorporated in the Cayman Islands, for the purpose of completing a reverse acquisition between Eagle Energy Metals Corp. (“Eagle Energy”) and SVII (Note 4),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public company and its common stock and public warrants are listed on The Nasdaq Capital Market tier of The Nasdaq Stock Market LLC (“Nasdaq”) under the ticker symbols of “NUCL” and “NUCLW,”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also completed the acquisition of Oregon Energy LLC (“Oregon Energy”) (Note 5), through which the Company acquired mining claims to explore and extract uranium (Aurora Uranium Project (“AUP”)) located in Malheur County, Oregon, approximately 16 kilometers northwest of McDermitt, Nevada. As of May 31, 2026, the Company holds 263 unpatented lode mining claims and 71 unpatented placer mining claims in the AUP, along with 27 unpatented placer mining claims in Humboldt County, Nevada. These claims collectively cover an area of approximately 43 square kilometers.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Risks and Uncertainties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Disruption of global financial markets and a recession or market correction, including the ongoing military conflicts between Russia and Ukraine and the related sanctions imposed against Russia as well as the geopolitical instability in the Middle East,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Basis of accounting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accompanying unaudited condensed consolidated interim financial statements are presented using the accrual basis of accounting in accordance with accounting principles generally accepted in the United States of America (“U.S. GAAP”) and pursuant to the rules and regulations of the U.S. Securities and Exchange Commission (“SEC”) for financial information. References to the “ASC” hereafter refer to the Accounting Standards Codification established by the Financial Accounting Standards Board (“FASB”) as the source of authoritative U.S. GAAP.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include the accounts of the Company, and its wholly-owned subsidiaries, Eagle Energy and SVII, following the reverse recapitalization as further discussed in Note 4, as well as its wholly-owned subsidiary, Oregon Energy, following the acquisition of Oregon Energy as further discussed in Note 5. For periods prior to the reverse recapitalization and acquisition of Oregon Energy, the reported share and per share amounts have been retroactively adjusted as further discussed below in this note, with the exception of authorized shares. Accompanying financial statements as of November 30, 2025, and accompanying unaudited condensed interim financial statements for the three and six months ended May 31, 2025, include only the accounts of Eagle Energy.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financial statements for the three and six months ended May 31, 2026 reflected (i) the historical operating results of Eagle Energy prior to the de-SPAC transaction, (ii) the combined results of the Company, Eagle Energy, SVII, and Oregon Energy following the closing of the de-SPAC transaction and acquisition, (iii) the assets and liabilities of Eagle Energy at their historical costs, (iv) the assets and liabilities of the Company and SVII at their historical costs, (v) the assets and liabilities assumed from acquisition of Oregon Energy as recognized in an asset acquisition as further discussed in Note 5, and (vi) the Company’s equity structure for all periods presented.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opinion of management, all adjustments, consisting of normal recurring adjustments, considered necessary for a fair presentation of the results of the interim periods, but are not necessarily indicative of the results of operations to be anticipated for the full year ending November 30, 2026. These unaudited condensed consolidated interim financial statements should be read in conjunction with the financial statements for the year ended November 30, 2025 and the period from December 14, 2023 (inception) through November 30, 2024, included in the proxy statement/prospectus filed pursuant to Rule 424(b)(3) of the Securities Act of 1933, as amended (File No. 333-290631) on February 2,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previously disclosed in its financial statements for the year ended November 30, 2025 and the period from December 14, 2023 (inception) through November 30, 2024, that a material uncertainty existed that cast doubt on the Company’s ability to continue as a going concern within one year after the date of the financial statements being issued. During the six months ended May 31, 2026, as a result of the successful completion of the de-SPAC transaction (Note 4) and a PIPE financing (Note 12), the Company possesses sufficient financial resources to sustain its operations. Thus the previously disclosed material uncertainty regarding the Company’s ability to continue as a going concern has been alleviated.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Basis of 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include the accounts of the Company and entities controlled by the Company. Control exists when the Company has the power, directly or indirectly, to govern the financial and operating policies of an entity so as to obtain benefits from its activities. All intercompany balances and transactions, income and expenses have been eliminated upon 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Company’s subsidiaries were:</w:t>
      </w:r>
    </w:p>
    <w:tbl>
      <w:tblPr>
        <w:tblW w:w="5601" w:type="dxa"/>
        <w:jc w:val="left"/>
        <w:tblInd w:w="0" w:type="dxa"/>
        <w:tblLayout w:type="fixed"/>
        <w:tblCellMar>
          <w:top w:w="0" w:type="dxa"/>
          <w:left w:w="0" w:type="dxa"/>
          <w:bottom w:w="0" w:type="dxa"/>
          <w:right w:w="0" w:type="dxa"/>
        </w:tblCellMar>
      </w:tblPr>
      <w:tblGrid>
        <w:gridCol w:w="1516"/>
        <w:gridCol w:w="346"/>
        <w:gridCol w:w="2191"/>
        <w:gridCol w:w="346"/>
        <w:gridCol w:w="886"/>
        <w:gridCol w:w="3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62660" cy="175260"/>
                      <wp:effectExtent l="0" t="0" r="0" b="0"/>
                      <wp:wrapNone/>
                      <wp:docPr id="65" name="Frame6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91285" cy="175260"/>
                      <wp:effectExtent l="0" t="0" r="0" b="0"/>
                      <wp:wrapNone/>
                      <wp:docPr id="67" name="Frame6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0660" cy="175260"/>
                      <wp:effectExtent l="0" t="0" r="0" b="0"/>
                      <wp:wrapNone/>
                      <wp:docPr id="70"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subsidiary</w:t>
            </w:r>
          </w:p>
        </w:tc>
        <w:tc>
          <w:tcPr>
            <w:tcW w:w="346" w:type="dxa"/>
            <w:tcBorders/>
            <w:vAlign w:val="center"/>
          </w:tcPr>
          <w:p>
            <w:pPr>
              <w:pStyle w:val="TableContents"/>
              <w:bidi w:val="0"/>
              <w:spacing w:before="0" w:after="0"/>
              <w:ind w:left="0" w:right="0" w:hanging="0"/>
              <w:jc w:val="center"/>
              <w:rPr/>
            </w:pPr>
            <w:r>
              <w:rPr/>
              <w:t>  ​ ​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16" w:type="dxa"/>
            <w:tcBorders/>
            <w:vAlign w:val="center"/>
          </w:tcPr>
          <w:p>
            <w:pPr>
              <w:pStyle w:val="TableContents"/>
              <w:bidi w:val="0"/>
              <w:spacing w:before="0" w:after="0"/>
              <w:ind w:left="0" w:right="0" w:hanging="0"/>
              <w:jc w:val="left"/>
              <w:rPr/>
            </w:pPr>
            <w:r>
              <w:rPr/>
              <w:t> </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Eagle Energy</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Nevada, the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 Energy</w:t>
            </w:r>
          </w:p>
        </w:tc>
        <w:tc>
          <w:tcPr>
            <w:tcW w:w="3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 the United States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SVII</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Retroactive application of reverse recapitalization</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As further discussed in Note 4, the de-SPAC transaction on February 24, 2026 was accounted for as a recapitalization of equity structure, with Eagle Energy being deemed as the accounting acquirer. Accordingly, these unaudited condensed consolidated interim financial statements of the Company represent a continuance of the business and operations of Eagle Energy, with the de-SPAC transaction being treated as the equivalent of Eagle Energy issuing stock for the net assets of SVII and the Company, accompanied by a recapitalization.</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The number of shares of common stock of Eagle Energy for all periods prior to the de-SPAC transaction have been retrospectively adjusted using the exchange ratios that were established in accordance with the BCA, as further disclosed in Note 4.</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consolidated balance sheet as of November 30,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To conform to the retroactive application of the reverse recapitalization (Note 4), the common stock and redeemable common stock within the consolidated balance sheets have been retroactively converted to common stock of the Company using the exchange ratios, with common stock of the Company having par value of $0.0001. Accordingly, the Company reclassified $9,131 of common stock par value of Eagle Energy to additional paid-in capital at November 30, 2025.</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unaudited condensed consolidated interim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weighted average shares during the three and six months ended May 31, 2025 have been recalculated to give effect to the retroactive application of the reverse recapitalization (Note 4) on the outstanding shares. Accordingly, the basic and diluted weighted-average number of shares outstanding of Eagle Energy common stock were retroactively converted to common stock of the Company.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unaudited condensed consolidated interim statements of changes in stockholders’ equity (deficit)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statements of changes in stockholders’ equity (deficit) for the three and six months ended May 31, 2025 has been recast to reflect the number of common stock of the Company issued to Eagle Energy stockholders in connection with the reverse recapitalization (Note 4) at the par value of the common stock of the Company of $0.0001. The number of shares of Eagle Energy common stock have been recast after giving effect to the exchange ratio in connection with the reverse recapitalization, and the related impacts to common stock and additional paid-in capital for the change in par value.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Variable interest entities (“VIE”)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VIE is an entity that does not have sufficient equity at risk to finance its activities without additional subordinated financial support or is structured such that equity investors lack the ability to control the entity’s activities or do not substantially participate in the gains and losses of the entity. Upon inception of a contractual agreement, and thereafter, if a reconsideration event occurs, the Company performs an assessment to determine whether the arrangement contains a variable interest in an entity and whether that entity is a VIE. The primary beneficiary of a VIE is the party that has both the power to direct the activities that most significantly impact the VIE’s economic performance and the obligation to absorb losses or the right to receive benefits from the VIE that could potentially be significant to the VIE. Where the Company concludes that it is the primary beneficiary of a VIE, the Company consolidates the accounts of that VIE. As of May 31, 2026, the Company is not involved in any contractual agreements that give rise to a VIE.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Functional and presentation currencies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unaudited condensed consolidated interim statements of operations of the respective period within the account labeled loss on foreign currency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2"/>
        </w:rPr>
        <w:t>f)</w:t>
      </w:r>
      <w:r>
        <w:rPr>
          <w:rFonts w:ascii="Times New Roman;Times;serif" w:hAnsi="Times New Roman;Times;serif"/>
          <w:b/>
          <w:sz w:val="20"/>
        </w:rPr>
        <w:t>Emerging growth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 and it has taken advantage of certain exemptions that are not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Use of estimates and judgments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unaudited condensed consolidated interim financial statements in conformity with U.S. GAAP requires the Company’s management to make judgments, estimates and assumptions, about future events that may impact the amounts reported in the unaudited condensed consolidated interim financial statements. Actual results may differ from these estimates. Estimates and underlying assumptions are reviewed on an ongoing basis. Revisions to estimates are made prospectively.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Key estimates made by management with respect to the areas noted have been disclosed in the notes to the unaudited condensed consolidated interim financial statements.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significant accounting policies applied in the preparation of these unaudited condensed consolidated interim financial statements are consistent with the accounting policies disclosed in Note 3 of the audited financial statements for the year ended November 30, 2025 and the period from December 14, 2023 (inception) through November 30, 2024, except for adoption of new accounting policies, as described below.</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Reverse recapitalization with SVII</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While Eagle Energy was a legal acquiree in the BCA, and the Company is the legal parent of both SVII and Eagle Energy after the de-SPAC transaction, for financial accounting and reporting purposes under U.S. GAAP, Eagle Energy is the accounting acquirer and the de-SPAC transaction is accounted for as a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accounting purposes, the de-SPAC transaction was treated as the equivalent of Eagle Energy issuing stock for the net assets of SVII and the Company, accompanied by a recapitalization. The Company was determined to be a vehicle through which the reverse recapitalization is effected. The net assets of SVII and the Company are stated at historical cost, and no goodwill or other intangible assets were recorded. As Eagle Energy was deemed the accounting acquirer in the de-SPAC transaction, the Company is a continuation of the operations of Eagle Energy. The historical financial statements of Eagle Energy are the historical financial statements of the Company upon the consummation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equity structure has been retroactively restated in all comparative periods up to the consummation of the de-SPAC transaction to reflect the number of shares of the Company’s common stock, $0.0001 par value per share, issued to Eagle Energy stockholders in connection with the Business Combination. As such, the shares and corresponding capital amounts and earnings per share have been retroactively restated as shares reflecting the exchange ratios established in the de-SPAC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Acquisition of Oregon Energy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Oregon Energy was assessed under ASC Topic 805, Business Combinations (“ASC 805”), and did not qualify as a business because no substantive process was acquired. Accordingly, the acquisition of Oregon Energy was accounted for as an asset acquisition. Asset acquisitions are accounted for by using a cost accumulation model, with no recognition of goodwill. The purchase price was allocated to the identifiable assets acquired and liabilities assumed based on their relative fair value as of the acquisition date, excluding assets or liabilities for which the subsequent accounting under other U.S. GAAP principles would result in recognition of an immediate gain or loss.</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Restricted cash consists of cash balances that are legally or contractually restricted as to withdrawal or use and are not available for general operations. Such amounts are classified as current or noncurrent based on the expected timing of release. As of May 31, 2026, this includes $140,960 held as collateral for reclamation and environmental obligations (Note 6), and $50,000 held as collateral for a corporate credit card.</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Preferred stock dividends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Preferred stock dividends are recognized in accordance with the contractual terms of the underlying instruments. Dividends on preferred stock are recorded when declared; however, for cumulative preferred stock, dividends are accrued as they are earned, whether or not declared, if the terms require payment upon redemption or otherwise create an obligation. Such dividends are generally recorded as a reduction of retained earnings (or decrease in additional paid-in capital, if no retained earnings are available) and, where applicable, as an increase to the carrying amount of the preferred stock. Dividends payable in cash, common stock, or additional preferred shares are measured based on the fair value or contractual amount at the declaration date, depending on the nature of the arrangement. Preferred stock dividends reduce income available to common stockholders in the calculation of earnings per share.</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Property, plant and equipment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Property, plant and equipment is recorded at cost, less accumulated depreciation and impairment losses. The Company provides for depreciation over the expected useful life of the assets. No depreciation is recorded on assets prior to their initial commencement of operations. Costs include expenditures to acquire or construct an asset, including the preparation of an asset to commence operations, installation, commissioning, and certification costs. Subsequent costs are capitalized, either to the asset’s carrying amount or recognized as a separate asset when it is probable that the Company will derive future economic benefits, generally from extending an asset’s life or enhancing its productive capacity. The estimated useful lives of assets are reviewed by management and adjusted if necessary. Repair and maintenance costs are charged to profit or loss during the period they are incurred.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Depreciation is recorded using the straight-line method over the estimated useful lives of the assets as follows:</w:t>
      </w:r>
    </w:p>
    <w:tbl>
      <w:tblPr>
        <w:tblW w:w="2957" w:type="dxa"/>
        <w:jc w:val="left"/>
        <w:tblInd w:w="0" w:type="dxa"/>
        <w:tblLayout w:type="fixed"/>
        <w:tblCellMar>
          <w:top w:w="0" w:type="dxa"/>
          <w:left w:w="0" w:type="dxa"/>
          <w:bottom w:w="0" w:type="dxa"/>
          <w:right w:w="0" w:type="dxa"/>
        </w:tblCellMar>
      </w:tblPr>
      <w:tblGrid>
        <w:gridCol w:w="2131"/>
        <w:gridCol w:w="826"/>
      </w:tblGrid>
      <w:tr>
        <w:trPr/>
        <w:tc>
          <w:tcPr>
            <w:tcW w:w="2131" w:type="dxa"/>
            <w:tcBorders/>
            <w:shd w:fill="CCEEFF" w:val="cle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213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131" w:type="dxa"/>
            <w:tcBorders/>
            <w:shd w:fill="CCEEFF"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Moveable equipment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r>
      <w:tr>
        <w:trPr/>
        <w:tc>
          <w:tcPr>
            <w:tcW w:w="213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equipment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Redeemable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accounts for its redeemable preferred stock in accordance with the guidance of ASC Topic No. 480, </w:t>
      </w:r>
      <w:r>
        <w:rPr>
          <w:rFonts w:ascii="Times New Roman;Times;serif" w:hAnsi="Times New Roman;Times;serif"/>
          <w:i/>
          <w:sz w:val="20"/>
        </w:rPr>
        <w:t>Distinguishing Liabilities from Equity</w:t>
      </w:r>
      <w:r>
        <w:rPr>
          <w:rFonts w:ascii="Times New Roman;Times;serif" w:hAnsi="Times New Roman;Times;serif"/>
          <w:sz w:val="20"/>
        </w:rPr>
        <w:t xml:space="preserve"> (“ASC 480”). Preferred stock that is mandatorily redeemable is classified as a liability and measured at the present value of the redemption amount. Conditionally redeemable preferred stock (including preferred stock that is redeemable at the option of the holder or upon the occurrence of events not solely within the Company’s control) is classified as temporary equity. At all other times, preferred stock is classified as stockholders’ equity. The Company’s redeemable preferred stock contains redemption features that are outside of its control and subject to uncertain future events. Accordingly, such redeemable preferred stock is presented at the present value of its redemption amount as mezzanine equity, outside of the stockholders’ equity section of the Company’s unaudited condensed consolidated interim balance sheets. Accretion of the present value of redemption amounts is recognized to retained earnings or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Warrant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accounts for warrants issued in connection with the Private Investment in Public Entity (“PIPE”) financing in accordance with ASC 480. Warrants are evaluated to determine whether they meet the definition of a freestanding financial instrument and whether they qualify for equity classification. Warrants that do not meet the criteria for equity classification, including those that are not indexed to the Company’s own stock or contain provisions that could require net cash settlement, are classified as derivative liabilities. This assessment, which requires the use of professional judgment, is conducted at the time of warrant issuance and as of each subsequent quarterly period end date while the warrants are outstanding. Such warrants are initially recognized at fair value on the date of issuance, with proceeds from the financing allocated first to the warrants based on their fair value and the residual allocated to the associated equity instruments. Subsequent to initial recognition, the derivative warrant liabilities are remeasured at fair value at each reporting date, with changes in fair value recognized in the unaudited condensed consolidated interim statement of operations.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July 30, 2025, and as amended on September 29, 2025, Eagle Energy, SVII, and the Company entered into the BCA. Pursuant to the BCA, on February 24, 2026, the Company, Eagle Energy, and SVII completed a business combination through which each of Eagle Energy and SVII amalgamated with a wholly owned subsidiary of the Company domiciled in Nevada and the Cayman Islands, respectively, with Eagle Energy and SVII surviving the amalgamations.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Reported shares of common stock, weighted average number of shares outstanding, and loss per share available to the Company’s common stock, prior to the de-SPAC transaction, have been retroactively restated to reflect the exchange ratio established in the BCA. Amounts in common stock and additional paid-in capital were recast for reallocation, in order to reflect the par value of shares post-consolidation.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former shareholders of SVII received 3,630,051 shares of common stock in the Company, representing a one-for-one exchange of Class A and Class B ordinary shares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completion of the de-SPAC transaction, the Company also issued 300,000 shares of common stock to a service provider in consideration for transaction costs associated with the de-SPAC transaction, and was included in additional paid-in capital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issued 29,700 shares of Series A Cumulative Convertible Preferred Stock, which are initially convertible into common stock on a 1-to-84.18 basis, and 2,500,000 PIPE warrants, and received $29,700,000 from a PIPE financing (Note 12).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issued 1,710,991 shares of common stock to Aurora Energy Metals Ltd. (“Aurora Energy”) for the acquisition of Oregon Energy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completion of the de-SPAC transaction, the Company also assumed 18,500,000 warrants of SVII (Note 12). The Company also issued 2,422,133 warrants (Note 12) to the sponsor of SVII (the “SVII Sponsor”) in exchange for settlement of $2,422,133 of loans owed by SVII to the SVII Sponsor, at $1.00 per warrant, which has been accounted for as a capital transaction with a shareholder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addition, in accordance with the </w:t>
      </w:r>
      <w:r>
        <w:rPr>
          <w:rFonts w:ascii="Times New Roman;Times;serif" w:hAnsi="Times New Roman;Times;serif"/>
          <w:smallCaps/>
          <w:sz w:val="20"/>
        </w:rPr>
        <w:t>BCA</w:t>
      </w:r>
      <w:r>
        <w:rPr>
          <w:rFonts w:ascii="Times New Roman;Times;serif" w:hAnsi="Times New Roman;Times;serif"/>
          <w:sz w:val="20"/>
        </w:rPr>
        <w:t xml:space="preserve">, certain former shareholders of Eagle Energy will have the contingent right to receive, in aggregate, 1,500,000 shares of common stock (the “Earnout Shares”), if at any time before February 24, 2031 (the “Earnout Period”), the VWAP (as defined in the BCA) of the shares of common stock of the Company equals or exceeds $16.00 for any 20 trading days within a period of 30 consecutive trading days (the “Earnout Target”), or if a change of control transaction occurs during the Earnout Period, and the Earnout Target was not already met. The Company evaluated the Earnout Shares under ASC 815-40, </w:t>
      </w:r>
      <w:r>
        <w:rPr>
          <w:rFonts w:ascii="Times New Roman;Times;serif" w:hAnsi="Times New Roman;Times;serif"/>
          <w:i/>
          <w:sz w:val="20"/>
        </w:rPr>
        <w:t>Derivatives and Hedging – Contracts in Entity’s Own Equity</w:t>
      </w:r>
      <w:r>
        <w:rPr>
          <w:rFonts w:ascii="Times New Roman;Times;serif" w:hAnsi="Times New Roman;Times;serif"/>
          <w:sz w:val="20"/>
        </w:rPr>
        <w:t>, and concluded the Earnout Shares meet the definition of an equity instrument, and accordingly will be accounted for as part of additional paid-in capital.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Immediately following the completion of the de-SPAC transaction, the former holders of Eagle Energy shares had a 67.45% ownership interest of the Company, inclusive of conversion impact of the Series A Cumulative Convertible Preferred Stock. As a result of the de-SPAC transaction, the former shareholders of Eagle Energy acquired control of the Company, thereby constituting a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de-SPAC transaction was accounted for as a capital transaction of Eagle Energy and equivalent to the issuance of shares by Eagle Energy for the net assets of SVII and the Company, accompanied by a recapitalization, as SVII did not qualify as a business according to the definition of ASC 805, and met the definition of a non-operating public shell. The Company was determined to be a vehicle through which the reverse recapitalization is effected. As a result, the transaction has been accounted for as a reverse recapitalization with Eagle Energy being identified as the acquirer, and SVII and the Company being treated as the accounting acquiree. Eagle Energy is the continuing entity.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Immediately following the de-SPAC transaction, the board of directors of the Company consisted of five members, four of whom were designated by Eagle Energy and one designated by SVII. In addition, the senior management of Eagle Energy became the senior management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summarizes the common stock outstanding immediately following the de-SPAC transaction, on February 24, 2026:</w:t>
      </w:r>
    </w:p>
    <w:tbl>
      <w:tblPr>
        <w:tblW w:w="8376" w:type="dxa"/>
        <w:jc w:val="left"/>
        <w:tblInd w:w="0" w:type="dxa"/>
        <w:tblLayout w:type="fixed"/>
        <w:tblCellMar>
          <w:top w:w="0" w:type="dxa"/>
          <w:left w:w="0" w:type="dxa"/>
          <w:bottom w:w="0" w:type="dxa"/>
          <w:right w:w="0" w:type="dxa"/>
        </w:tblCellMar>
      </w:tblPr>
      <w:tblGrid>
        <w:gridCol w:w="5281"/>
        <w:gridCol w:w="346"/>
        <w:gridCol w:w="1381"/>
        <w:gridCol w:w="346"/>
        <w:gridCol w:w="676"/>
        <w:gridCol w:w="346"/>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353435" cy="175260"/>
                      <wp:effectExtent l="0" t="0" r="0" b="0"/>
                      <wp:wrapNone/>
                      <wp:docPr id="71" name="Frame70"/>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76935" cy="175260"/>
                      <wp:effectExtent l="0" t="0" r="0" b="0"/>
                      <wp:wrapNone/>
                      <wp:docPr id="73" name="Frame7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260" cy="175260"/>
                      <wp:effectExtent l="0" t="0" r="0" b="0"/>
                      <wp:wrapNone/>
                      <wp:docPr id="75"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SVII Public Shareholders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1,101,717</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SVII Rights Conversion</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2,299,982</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SVII Founders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2,528,334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SVII</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5,930,033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Eagle Energy Shareholders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21,638,289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Aurora Energy</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1,710,991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for Transaction Costs</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Common Stock at Closing</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29,579,313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Cumulative Convertible Preferred Stock, As Converted</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Shares</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32,079,313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HorizontalLine"/>
        <w:pBdr>
          <w:bottom w:val="single" w:sz="6" w:space="0" w:color="000000"/>
        </w:pBdr>
        <w:bidi w:val="0"/>
        <w:spacing w:before="0" w:after="0"/>
        <w:ind w:left="36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691,666 shares of common stock transferred by SVII Sponsor to certain SVII Public Shareholders in accordance with a non-redemption agreement among the parties.</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SVII Sponsor and former independent directors of SVII. Excludes 691,666 shares of common stock transferred in accordance with a non-redemption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reconciliation of net contributions from reverse recapitalization is as follows:</w:t>
      </w:r>
    </w:p>
    <w:tbl>
      <w:tblPr>
        <w:tblW w:w="5689" w:type="dxa"/>
        <w:jc w:val="left"/>
        <w:tblInd w:w="0" w:type="dxa"/>
        <w:tblLayout w:type="fixed"/>
        <w:tblCellMar>
          <w:top w:w="0" w:type="dxa"/>
          <w:left w:w="0" w:type="dxa"/>
          <w:bottom w:w="0" w:type="dxa"/>
          <w:right w:w="0" w:type="dxa"/>
        </w:tblCellMar>
      </w:tblPr>
      <w:tblGrid>
        <w:gridCol w:w="4036"/>
        <w:gridCol w:w="346"/>
        <w:gridCol w:w="211"/>
        <w:gridCol w:w="109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562860" cy="175260"/>
                      <wp:effectExtent l="0" t="0" r="0" b="0"/>
                      <wp:wrapNone/>
                      <wp:docPr id="77" name="Frame76"/>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5960" cy="175260"/>
                      <wp:effectExtent l="0" t="0" r="0" b="0"/>
                      <wp:wrapNone/>
                      <wp:docPr id="80" name="Frame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4,894,595</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transaction costs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(2,916,782)</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reverse recapitalization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1,977,813</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liabilities assumed by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24,284</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(10,913)</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Promissory notes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(2,422,133)</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(2,408,762)</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conversion of promissory notes to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2,422,133</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contributions from reverse recapitalization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1,991,184</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reconciliation of cash assumed on reverse recapitalization is as follows:</w:t>
      </w:r>
    </w:p>
    <w:tbl>
      <w:tblPr>
        <w:tblW w:w="7084" w:type="dxa"/>
        <w:jc w:val="left"/>
        <w:tblInd w:w="0" w:type="dxa"/>
        <w:tblLayout w:type="fixed"/>
        <w:tblCellMar>
          <w:top w:w="0" w:type="dxa"/>
          <w:left w:w="0" w:type="dxa"/>
          <w:bottom w:w="0" w:type="dxa"/>
          <w:right w:w="0" w:type="dxa"/>
        </w:tblCellMar>
      </w:tblPr>
      <w:tblGrid>
        <w:gridCol w:w="5491"/>
        <w:gridCol w:w="346"/>
        <w:gridCol w:w="211"/>
        <w:gridCol w:w="103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486785" cy="175260"/>
                      <wp:effectExtent l="0" t="0" r="0" b="0"/>
                      <wp:wrapNone/>
                      <wp:docPr id="81" name="Frame80"/>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84"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reverse recapitalization</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1,977,813</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transaction costs not paid from de-SPAC proceeds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48,689</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disbursed for prepaid expenses from de-SPAC proceeds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(87,045)</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assumed on reverse recapitalization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1,939,457</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Lock-up agreement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SVII Sponsor and certain other shareholders of the Company entered into a lock-up agreement, and agreed to certain transfer and lock-up restrictions of the Company’s common stock, which would terminate 180 days after February 24, 2026, subject to certain exclusions, such as in the event of a liquidation, merger, stock exchange, or other similar transaction that results in all of the Company’s stockholders having the right to exchange their equity for cash, securities or other property.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Registration rights agreement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on February 24, 2026, the Company, SVII Sponsor, and certain stockholders of the Company entered into an Amended and Restated Registration Rights Agreement, pursuant to which, among other things, those stockholders will be granted customary registration rights with respect to the securities of the Company that they hold.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Indemnification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on February 24, 2026, the Company entered into indemnification agreements with each of its directors and executive officers. Each indemnification agreement provides for indemnification and advancements by the Company of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ACQUISITION OF OREGON ENERGY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de-SPAC transaction (Note 4), the Company, through its subsidiary Eagle Energy, completed the acquisition of Oregon Energy from Aurora Energy, pursuant to the terms of a property option agreement (the “Aurora Option Agreement”) with Aurora Energy originally entered into on November 18, 2024, as amended on November 26, 2025 and February 24, 2026. As consideration for the acquisition, the Company issued 1,710,991 shares of its common stock to Aurora Energy at a fair value of $6.99 per share, resulting in total share consideration of $11,959,827. The Company also made cash payments totaling $1,219,545 to Aurora Energy pursuant to the terms of the Aurora Option Agreement prior to closing, which were previously capitalized as mineral rights (Note 9). Upon completion, the Company acquired 100% membership interest in Oregon Energy.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acquisition was accounted for as an asset acquisition under ASC 805, as Oregon Energy did not qualify as a business according to the definition of ASC 805. The purchase price was allocated to the identifiable assets acquired and liabilities assumed based on their estimated fair value as of the acquisition date. The Company utilized a market approach, based on observed and implied valuation multiples of public companies, to assess the components of its purchase price allocation. The allocation of the purchase price is summarized below:</w:t>
      </w:r>
    </w:p>
    <w:tbl>
      <w:tblPr>
        <w:tblW w:w="7234" w:type="dxa"/>
        <w:jc w:val="left"/>
        <w:tblInd w:w="0" w:type="dxa"/>
        <w:tblLayout w:type="fixed"/>
        <w:tblCellMar>
          <w:top w:w="0" w:type="dxa"/>
          <w:left w:w="0" w:type="dxa"/>
          <w:bottom w:w="0" w:type="dxa"/>
          <w:right w:w="0" w:type="dxa"/>
        </w:tblCellMar>
      </w:tblPr>
      <w:tblGrid>
        <w:gridCol w:w="5536"/>
        <w:gridCol w:w="346"/>
        <w:gridCol w:w="211"/>
        <w:gridCol w:w="114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515360" cy="175260"/>
                      <wp:effectExtent l="0" t="0" r="0" b="0"/>
                      <wp:wrapNone/>
                      <wp:docPr id="85" name="Frame84"/>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24535" cy="175260"/>
                      <wp:effectExtent l="0" t="0" r="0" b="0"/>
                      <wp:wrapNone/>
                      <wp:docPr id="88"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common shares issued for acquisition of Oregon Energy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1,710,991</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consideration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11,959,827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from prior option payments (Note 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1,219,545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13,179,372</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assumed by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Prepaids 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242,012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Mineral rights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12,755,725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13,179,372</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acquisition also included contingent considerations payable upon the achievement of certain post-closing milestones related to future measured and/or indicated mineral resources and the completion of a positive pre-feasibility study (Note 9). Such contingent considerations were not included in the purchase consideration recognized on the closing date of the asset acquisition, as the related milestones are dependent on future events with uncertain outcomes and were not considered probable as of the closing date.</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RECLAMATION AND ENVIRONMENTAL OBLIGATION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Reclamation and environmental costs are based principally on legal and regulatory requirements. Management estimates the costs associated with reclamation of land to its original condition following mineral exploration activities. These estimates are reviewed periodically; however, actual results may differ from those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connection with the acquisition of Oregon Energy (Note 5), reclamation and environmental obligations were evaluated in accordance with ASC 805, and recorded at their estimated fair value as of the acquisition date. The Company also considered the guidance under ASC 410, </w:t>
      </w:r>
      <w:r>
        <w:rPr>
          <w:rFonts w:ascii="Times New Roman;Times;serif" w:hAnsi="Times New Roman;Times;serif"/>
          <w:i/>
          <w:sz w:val="20"/>
        </w:rPr>
        <w:t>Asset Retirement and Environmental Obligations</w:t>
      </w:r>
      <w:r>
        <w:rPr>
          <w:rFonts w:ascii="Times New Roman;Times;serif" w:hAnsi="Times New Roman;Times;serif"/>
          <w:sz w:val="20"/>
        </w:rPr>
        <w:t>, for subsequent measurement of such obligations.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Prior to the acquisition, Oregon Energy posted cash bonds as financial assurance with the Bureau of Land Management of the United States Department of the Interior (“BLM”) and the Oregon Department of Geology and Mineral Industries (“DOGAMI”) to satisfy reclamation requirements. As of May 31, 2026, restricted cash representing amounts held as collateral for these obligations totaled $140,960 (November 30, 2025 - $Nil). These bonds relate to mineral exploration activities conducted in fiscal years prior to the acquisition, dating back to 2023, for which reclamation activities have been completed prior to the acquisition.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Oregon Energy originally deposited $160,470 with BLM and DOGAMI. In February 2025, refunds of $19,510 were received from the BLM following partial satisfaction of reclamation requirements. The remaining bonds are retained by the BLM and DOGAMI, until revegetation was deemed successful by these regulatory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reclamation and environmental obligations were substantially settled prior to the acquisition, and the Company has yet to commence new exploration activities, the carrying amount of reclamation and environmental obligation was $Nil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Increases in reclamation and environmental obligation associated with exploration activities of the Company are not capitalized to mineral rights (Note 9), as only acquisition costs are capitalizable in accordance with ASC 930, </w:t>
      </w:r>
      <w:r>
        <w:rPr>
          <w:rFonts w:ascii="Times New Roman;Times;serif" w:hAnsi="Times New Roman;Times;serif"/>
          <w:i/>
          <w:sz w:val="20"/>
        </w:rPr>
        <w:t>Extractive Activities – Mining</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PROPERTY, PLANT AND EQUIPMENT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Property, plant, and equipment consist of the following:</w:t>
      </w:r>
    </w:p>
    <w:tbl>
      <w:tblPr>
        <w:tblW w:w="5165" w:type="dxa"/>
        <w:jc w:val="center"/>
        <w:tblInd w:w="0" w:type="dxa"/>
        <w:tblLayout w:type="fixed"/>
        <w:tblCellMar>
          <w:top w:w="0" w:type="dxa"/>
          <w:left w:w="0" w:type="dxa"/>
          <w:bottom w:w="0" w:type="dxa"/>
          <w:right w:w="0" w:type="dxa"/>
        </w:tblCellMar>
      </w:tblPr>
      <w:tblGrid>
        <w:gridCol w:w="2266"/>
        <w:gridCol w:w="346"/>
        <w:gridCol w:w="211"/>
        <w:gridCol w:w="781"/>
        <w:gridCol w:w="346"/>
        <w:gridCol w:w="386"/>
        <w:gridCol w:w="82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8910" cy="175260"/>
                      <wp:effectExtent l="0" t="0" r="0" b="0"/>
                      <wp:wrapNone/>
                      <wp:docPr id="89" name="Frame8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5110" cy="175260"/>
                      <wp:effectExtent l="0" t="0" r="0" b="0"/>
                      <wp:wrapNone/>
                      <wp:docPr id="94" name="Frame9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26415" cy="175260"/>
                      <wp:effectExtent l="0" t="0" r="0" b="0"/>
                      <wp:wrapNone/>
                      <wp:docPr id="95" name="Frame9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May 31, </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November 30, </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151,172</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80,593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49,457</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Moveable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7,504</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289,979</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book value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283,877</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Depreciation expense for the three and six months ended May  31, 2026, was $4,619 and $6,102, respectively.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Depreciation expense for the three and six months ended May 31, 2025, was $Nil and $Nil, respectively.</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INTANGIBLE ASSET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The Company capitalized the costs paid upon execution of the agreement, and subsequent costs connected with establishment of new intangible asset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patent license agreement, a license maintenance fee of $35,000 due on January 31, 2026 has been paid. The Company is obligated to pay additional license maintenance fees of $50,000 on each of January 31, 2027 and January 31, 2028. The Company shall also pay to UNMRI certain royalties on commercial sublicenses and on gross receipts from sale of commercial reactors, subject to minimum annual royalties of $65,000 from the calendar year 2028 onwards. As of May 31, 2026, $20,685 (November 30, 2025 - $29,436) of license maintenance fees were included in accounts payable and accrued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policy is to expense costs incurred to renew, extend or maintain the term of a recognized patent license as incurred.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Patent licenses are amortized on a straight-line basis over their estimated useful lives pursuant to contract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intangible assets as of May 31, 2026, are as follows:</w:t>
      </w:r>
    </w:p>
    <w:tbl>
      <w:tblPr>
        <w:tblW w:w="7840" w:type="dxa"/>
        <w:jc w:val="left"/>
        <w:tblInd w:w="0" w:type="dxa"/>
        <w:tblLayout w:type="fixed"/>
        <w:tblCellMar>
          <w:top w:w="0" w:type="dxa"/>
          <w:left w:w="0" w:type="dxa"/>
          <w:bottom w:w="0" w:type="dxa"/>
          <w:right w:w="0" w:type="dxa"/>
        </w:tblCellMar>
      </w:tblPr>
      <w:tblGrid>
        <w:gridCol w:w="2221"/>
        <w:gridCol w:w="346"/>
        <w:gridCol w:w="239"/>
        <w:gridCol w:w="767"/>
        <w:gridCol w:w="346"/>
        <w:gridCol w:w="270"/>
        <w:gridCol w:w="811"/>
        <w:gridCol w:w="346"/>
        <w:gridCol w:w="211"/>
        <w:gridCol w:w="676"/>
        <w:gridCol w:w="346"/>
        <w:gridCol w:w="126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10335" cy="175260"/>
                      <wp:effectExtent l="0" t="0" r="0" b="0"/>
                      <wp:wrapNone/>
                      <wp:docPr id="96" name="Frame9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765" cy="175260"/>
                      <wp:effectExtent l="0" t="0" r="0" b="0"/>
                      <wp:wrapNone/>
                      <wp:docPr id="98"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87045" cy="175260"/>
                      <wp:effectExtent l="0" t="0" r="0" b="0"/>
                      <wp:wrapNone/>
                      <wp:docPr id="99" name="Frame9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1450" cy="175260"/>
                      <wp:effectExtent l="0" t="0" r="0" b="0"/>
                      <wp:wrapNone/>
                      <wp:docPr id="101" name="Frame10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14985" cy="175260"/>
                      <wp:effectExtent l="0" t="0" r="0" b="0"/>
                      <wp:wrapNone/>
                      <wp:docPr id="102" name="Frame1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00735" cy="175260"/>
                      <wp:effectExtent l="0" t="0" r="0" b="0"/>
                      <wp:wrapNone/>
                      <wp:docPr id="107" name="Frame10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Life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Assets</w:t>
            </w:r>
          </w:p>
        </w:tc>
        <w:tc>
          <w:tcPr>
            <w:tcW w:w="346" w:type="dxa"/>
            <w:tcBorders/>
            <w:vAlign w:val="center"/>
          </w:tcPr>
          <w:p>
            <w:pPr>
              <w:pStyle w:val="TableContents"/>
              <w:bidi w:val="0"/>
              <w:spacing w:before="0" w:after="0"/>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99,888</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96,450</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 net</w:t>
            </w:r>
          </w:p>
        </w:tc>
        <w:tc>
          <w:tcPr>
            <w:tcW w:w="3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99,888</w:t>
            </w:r>
          </w:p>
        </w:tc>
        <w:tc>
          <w:tcPr>
            <w:tcW w:w="3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96,450</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intangible assets as of November 30, 2025, are as follows:</w:t>
      </w:r>
    </w:p>
    <w:tbl>
      <w:tblPr>
        <w:tblW w:w="7780" w:type="dxa"/>
        <w:jc w:val="left"/>
        <w:tblInd w:w="0" w:type="dxa"/>
        <w:tblLayout w:type="fixed"/>
        <w:tblCellMar>
          <w:top w:w="0" w:type="dxa"/>
          <w:left w:w="0" w:type="dxa"/>
          <w:bottom w:w="0" w:type="dxa"/>
          <w:right w:w="0" w:type="dxa"/>
        </w:tblCellMar>
      </w:tblPr>
      <w:tblGrid>
        <w:gridCol w:w="2221"/>
        <w:gridCol w:w="346"/>
        <w:gridCol w:w="225"/>
        <w:gridCol w:w="721"/>
        <w:gridCol w:w="346"/>
        <w:gridCol w:w="270"/>
        <w:gridCol w:w="811"/>
        <w:gridCol w:w="346"/>
        <w:gridCol w:w="211"/>
        <w:gridCol w:w="676"/>
        <w:gridCol w:w="346"/>
        <w:gridCol w:w="126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10335" cy="175260"/>
                      <wp:effectExtent l="0" t="0" r="0" b="0"/>
                      <wp:wrapNone/>
                      <wp:docPr id="108" name="Frame10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2875" cy="175260"/>
                      <wp:effectExtent l="0" t="0" r="0" b="0"/>
                      <wp:wrapNone/>
                      <wp:docPr id="110" name="Frame1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57835" cy="175260"/>
                      <wp:effectExtent l="0" t="0" r="0" b="0"/>
                      <wp:wrapNone/>
                      <wp:docPr id="111" name="Frame1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71450" cy="175260"/>
                      <wp:effectExtent l="0" t="0" r="0" b="0"/>
                      <wp:wrapNone/>
                      <wp:docPr id="113" name="Frame11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14985" cy="175260"/>
                      <wp:effectExtent l="0" t="0" r="0" b="0"/>
                      <wp:wrapNone/>
                      <wp:docPr id="114" name="Frame11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00735" cy="175260"/>
                      <wp:effectExtent l="0" t="0" r="0" b="0"/>
                      <wp:wrapNone/>
                      <wp:docPr id="119" name="Frame11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Life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Assets</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67,430</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65,915</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 net</w:t>
            </w:r>
          </w:p>
        </w:tc>
        <w:tc>
          <w:tcPr>
            <w:tcW w:w="3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67,430</w:t>
            </w:r>
          </w:p>
        </w:tc>
        <w:tc>
          <w:tcPr>
            <w:tcW w:w="3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65,915</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19.5</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Aggregate amortization expense was $942 and $1,923 for the three and six months ended May 31, 2026, respectively (for the three and six months ended May 31, 2025, respectively - $Nil). Amortization expense is expected to be approximately $5,000 per year for each of the next five fiscal years.</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MINERAL RIGHTS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Aurora Uranium Project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18, 2024 (the “Option Effective Date”), Eagle Energy entered into the Aurora Option Agreement with Aurora Energy and its then-wholly owned subsidiary Oregon Energy who, through Oregon Energy, is the owner of 100% interest in the AUP. As part of the Aurora Option Agreement, Aurora Energy, agreed to grant Eagle Energy the sole, exclusive option to acquire all of the issued and outstanding equity interests in Oregon Energy. The option was exercised on February 24, 2026 (Note 5), upon which Eagle Energy acquired 100% of Oregon Energy including all of its right, title and interest in the AUP.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exercise the option, Eagle Energy was required to:</w:t>
      </w:r>
    </w:p>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$300,000 cash consideration on or before December 18, 2024 (paid)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 measured and/or indicated SK1300 technical report and mineral resource estimate (an “SK1300 Report”) for the project, in accordance with the standards of Subpart 1300 of Regulation S-K of the Securities Act (completed);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of common stock in Eagle Energy with a value of $16,000,000 (“Aurora Option Payment Shares”) on the closing date (issued) of:</w:t>
            </w:r>
          </w:p>
        </w:tc>
      </w:tr>
    </w:tbl>
    <w:tbl>
      <w:tblPr>
        <w:tblW w:w="8718" w:type="dxa"/>
        <w:jc w:val="left"/>
        <w:tblInd w:w="0" w:type="dxa"/>
        <w:tblLayout w:type="fixed"/>
        <w:tblCellMar>
          <w:top w:w="0" w:type="dxa"/>
          <w:left w:w="0" w:type="dxa"/>
          <w:bottom w:w="0" w:type="dxa"/>
          <w:right w:w="0" w:type="dxa"/>
        </w:tblCellMar>
      </w:tblPr>
      <w:tblGrid>
        <w:gridCol w:w="23"/>
        <w:gridCol w:w="125"/>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8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initial public offering of Eagle Energy’s shares and listing thereof on a national securities exchange, or</w:t>
            </w:r>
          </w:p>
        </w:tc>
      </w:tr>
    </w:tbl>
    <w:tbl>
      <w:tblPr>
        <w:tblW w:w="9153" w:type="dxa"/>
        <w:jc w:val="left"/>
        <w:tblInd w:w="0" w:type="dxa"/>
        <w:tblLayout w:type="fixed"/>
        <w:tblCellMar>
          <w:top w:w="0" w:type="dxa"/>
          <w:left w:w="0" w:type="dxa"/>
          <w:bottom w:w="0" w:type="dxa"/>
          <w:right w:w="0" w:type="dxa"/>
        </w:tblCellMar>
      </w:tblPr>
      <w:tblGrid>
        <w:gridCol w:w="23"/>
        <w:gridCol w:w="125"/>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9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different transaction which results in the listing of Eagle Energy’s shares on a national securities exchange, or</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acquisition of substantially all Eagle Energy’s outstanding equity securities or substantially all of Eagle Energy’s assets by a public company with common equity that is listed on a national securities exchange, in each case prior to May 18, 2025 (the “Listing Event”); and</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 minimum of $6,800,000 in connection with the Listing Event (met).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Aurora Energy a 1% NSR in the project’s future revenue (granted), half or all of which may be repurchased by the company for consideration of $1,000,000 or $2,000,000, respectively, prior to commencement of the project’s commercial operations;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Aurora Option Agreement provided for up to two six-month extensions to the date of the Listing Event, each subject to additional consideration. For the first extension, Eagle Energy was required to pay $300,000 to Aurora Energy and fund $250,000 of Oregon Energy’s mining expenditures. For the second extension, Eagle Energy was required to pay $400,000 and fund an additional $250,000 of such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18, 2025, Eagle Energy exercised its right to the first six-month extension and made an additional payment of $300,000 to Aurora Energy. On November 18, 2025, Eagle Energy exercised its right to the second six-month extension and made an additional payment of $400,000 to Aurora Energy. As part of the extensions, Eagle Energy was obligated to reimburse up to $500,000 of mining operations expenditures of Oregon Energy. As of February 24, 2026, prior to the exercise of the option (Note 5), Eagle Energy made reimbursements totaling $219,545.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immediately before the completion of the de-SPAC transaction (Note 4),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number of Aurora Option Payment Shares to be issued was to be adjusted to provide for additional shares based on an increase in uranium spot price over the period between the Option Effective Date and the Listing Event, equal to the product of (I) 50% of the percentage increase in the spot price and (II) the number of Aurora Option Payment Shares associated with the initial $16,000,000 valuation. If the spot price does not increase, there will be no adjustment to the number of Aurora Option Payment Shares. The value of Aurora Option Payment Shares was adjusted to be $17,109,910 on February 24, 2026, immediately before closing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Further, upon completion of a positive pre-feasibility study on the project following a Listing Event, the Company will issue to Aurora Energy additional payment shares (the “Pre-Feasibility Bonus”) with a value of $5,000,000, determined by the 30-day VWAP of the Company’s shares during the 30 days prior to the announcement of the pre-feasibility study.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completed the acquisition of Oregon Energy (Note 5). The number of Aurora Option Payment Shares issued by the Company was calculated based on the deemed transaction price in the BCA of the de-SPAC transaction (Note 4) of $10 per share, as Eagle Energy completed the Listing Event by way of a de-SPAC transaction with SVII on February 24, 2026, with the Company becoming the parent of Eagle Energy and obtaining a listing on Nasdaq. As such, the number of shares issued was 1,710,991. Based on a relative fair value allocation, $12,755,725 of the total cash and share consideration paid was allocated to the mineral rights acquired as a result of the acquisition of Oregon Energy.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capitalized the following acquisition costs for the payments made to Aurora Energy beginning on November 30, 2024 through May 31, 2026.</w:t>
      </w:r>
    </w:p>
    <w:tbl>
      <w:tblPr>
        <w:tblW w:w="6663" w:type="dxa"/>
        <w:jc w:val="left"/>
        <w:tblInd w:w="0" w:type="dxa"/>
        <w:tblLayout w:type="fixed"/>
        <w:tblCellMar>
          <w:top w:w="0" w:type="dxa"/>
          <w:left w:w="0" w:type="dxa"/>
          <w:bottom w:w="0" w:type="dxa"/>
          <w:right w:w="0" w:type="dxa"/>
        </w:tblCellMar>
      </w:tblPr>
      <w:tblGrid>
        <w:gridCol w:w="4231"/>
        <w:gridCol w:w="346"/>
        <w:gridCol w:w="325"/>
        <w:gridCol w:w="176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686685" cy="175260"/>
                      <wp:effectExtent l="0" t="0" r="0" b="0"/>
                      <wp:wrapNone/>
                      <wp:docPr id="120" name="Frame119"/>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6375" cy="175260"/>
                      <wp:effectExtent l="0" t="0" r="0" b="0"/>
                      <wp:wrapNone/>
                      <wp:docPr id="122" name="Frame12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18235" cy="175260"/>
                      <wp:effectExtent l="0" t="0" r="0" b="0"/>
                      <wp:wrapNone/>
                      <wp:docPr id="123" name="Frame122"/>
                      <a:graphic xmlns:a="http://schemas.openxmlformats.org/drawingml/2006/main">
                        <a:graphicData uri="http://schemas.microsoft.com/office/word/2010/wordprocessingShape">
                          <wps:wsp>
                            <wps:cNvSpPr txBox="1"/>
                            <wps:spPr>
                              <a:xfrm>
                                <a:off x="0" y="0"/>
                                <a:ext cx="111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Aurora Uranium Property</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November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761"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option payment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of mining operations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201,390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November 30, 2025</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7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1,201,390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of mining operations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common stock (Note 5)</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11,536,180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7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12,755,725</w:t>
            </w:r>
          </w:p>
        </w:tc>
      </w:tr>
    </w:tbl>
    <w:p>
      <w:pPr>
        <w:pStyle w:val="TextBody"/>
        <w:bidi w:val="0"/>
        <w:spacing w:before="0" w:after="0"/>
        <w:ind w:left="36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aggregate maximum Resource Payment and Pre-Feasibility Bonus potentially payable to Aurora Energy is $10,000,000, payable in additional payment shares. This contingent consideration was not included in the cost of the acquired mineral rights recognized at the closing date and will be recognized as an addition to the cost basis of the asset if and when the applicable milestone is achieved and the obligation becomes probable. As of May 31, 2026, neither milestone had been achieved. The Company currently expects a pre-feasibility study to be completed by the end of calendar year 2027. The Company expects to prepare its next SK1300 mineral resources update in connection with the completion of the pre-feasibility study.</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OPERATING LEASES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16, 2025, the Company entered into an office lease agreement in New York, NY for 5 years and 2 months from the lease commencement date, which is defined as the first business day following the substantial completion of the landlord’s work and delivery of possession of the premises to the Company. The lease commencement date was determined to be January 1, 2026, when the Company obtained possession of the premises. Lease liabilities are measured at the commencement date based on the present value of future lease payments.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3, 2025, the Company entered into an office lease agreement in Vancouver, Canada for 2 years. Lease liabilities are measured at the commencement date based on the present value of future lease payments.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rates based on the rate used by comparable public companies.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presents the net lease cost and other supplemental lease information:</w:t>
      </w:r>
    </w:p>
    <w:tbl>
      <w:tblPr>
        <w:tblW w:w="7188" w:type="dxa"/>
        <w:jc w:val="left"/>
        <w:tblInd w:w="0" w:type="dxa"/>
        <w:tblLayout w:type="fixed"/>
        <w:tblCellMar>
          <w:top w:w="0" w:type="dxa"/>
          <w:left w:w="0" w:type="dxa"/>
          <w:bottom w:w="0" w:type="dxa"/>
          <w:right w:w="0" w:type="dxa"/>
        </w:tblCellMar>
      </w:tblPr>
      <w:tblGrid>
        <w:gridCol w:w="3301"/>
        <w:gridCol w:w="346"/>
        <w:gridCol w:w="334"/>
        <w:gridCol w:w="1241"/>
        <w:gridCol w:w="346"/>
        <w:gridCol w:w="515"/>
        <w:gridCol w:w="1105"/>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96135" cy="175260"/>
                      <wp:effectExtent l="0" t="0" r="0" b="0"/>
                      <wp:wrapNone/>
                      <wp:docPr id="124" name="Frame12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2090" cy="175260"/>
                      <wp:effectExtent l="0" t="0" r="0" b="0"/>
                      <wp:wrapNone/>
                      <wp:docPr id="126" name="Frame12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88035" cy="175260"/>
                      <wp:effectExtent l="0" t="0" r="0" b="0"/>
                      <wp:wrapNone/>
                      <wp:docPr id="127" name="Frame126"/>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27025" cy="175260"/>
                      <wp:effectExtent l="0" t="0" r="0" b="0"/>
                      <wp:wrapNone/>
                      <wp:docPr id="129" name="Frame12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01675" cy="175260"/>
                      <wp:effectExtent l="0" t="0" r="0" b="0"/>
                      <wp:wrapNone/>
                      <wp:docPr id="130" name="Frame129"/>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before="0" w:after="0"/>
              <w:ind w:left="0" w:right="0" w:hanging="0"/>
              <w:jc w:val="left"/>
              <w:rPr/>
            </w:pPr>
            <w:r>
              <w:rPr/>
              <w:t>  ​ ​ ​</w:t>
            </w:r>
          </w:p>
        </w:tc>
        <w:tc>
          <w:tcPr>
            <w:tcW w:w="16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2026</w:t>
            </w:r>
          </w:p>
        </w:tc>
        <w:tc>
          <w:tcPr>
            <w:tcW w:w="346" w:type="dxa"/>
            <w:tcBorders/>
            <w:vAlign w:val="center"/>
          </w:tcPr>
          <w:p>
            <w:pPr>
              <w:pStyle w:val="TableContents"/>
              <w:bidi w:val="0"/>
              <w:spacing w:before="0" w:after="0"/>
              <w:ind w:left="0" w:right="0" w:hanging="0"/>
              <w:jc w:val="left"/>
              <w:rPr/>
            </w:pPr>
            <w:r>
              <w:rPr/>
              <w:t>​</w:t>
            </w:r>
          </w:p>
        </w:tc>
        <w:tc>
          <w:tcPr>
            <w:tcW w:w="1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93,581</w:t>
            </w:r>
          </w:p>
        </w:tc>
        <w:tc>
          <w:tcPr>
            <w:tcW w:w="34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60,017</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vAlign w:val="center"/>
          </w:tcPr>
          <w:p>
            <w:pPr>
              <w:pStyle w:val="TableContents"/>
              <w:bidi w:val="0"/>
              <w:spacing w:before="0" w:after="0"/>
              <w:ind w:left="0" w:right="0" w:hanging="0"/>
              <w:jc w:val="left"/>
              <w:rPr/>
            </w:pPr>
            <w:r>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(69,933)</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Lease balance sheet information as of May 31, 2026 and November 30, 2025:</w:t>
      </w:r>
    </w:p>
    <w:tbl>
      <w:tblPr>
        <w:tblW w:w="7309" w:type="dxa"/>
        <w:jc w:val="left"/>
        <w:tblInd w:w="0" w:type="dxa"/>
        <w:tblLayout w:type="fixed"/>
        <w:tblCellMar>
          <w:top w:w="0" w:type="dxa"/>
          <w:left w:w="0" w:type="dxa"/>
          <w:bottom w:w="0" w:type="dxa"/>
          <w:right w:w="0" w:type="dxa"/>
        </w:tblCellMar>
      </w:tblPr>
      <w:tblGrid>
        <w:gridCol w:w="3931"/>
        <w:gridCol w:w="346"/>
        <w:gridCol w:w="236"/>
        <w:gridCol w:w="874"/>
        <w:gridCol w:w="346"/>
        <w:gridCol w:w="335"/>
        <w:gridCol w:w="124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96185" cy="175260"/>
                      <wp:effectExtent l="0" t="0" r="0" b="0"/>
                      <wp:wrapNone/>
                      <wp:docPr id="131" name="Frame13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9860" cy="175260"/>
                      <wp:effectExtent l="0" t="0" r="0" b="0"/>
                      <wp:wrapNone/>
                      <wp:docPr id="133" name="Frame13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54990" cy="175260"/>
                      <wp:effectExtent l="0" t="0" r="0" b="0"/>
                      <wp:wrapNone/>
                      <wp:docPr id="134" name="Frame133"/>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2725" cy="175260"/>
                      <wp:effectExtent l="0" t="0" r="0" b="0"/>
                      <wp:wrapNone/>
                      <wp:docPr id="136" name="Frame13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88035" cy="175260"/>
                      <wp:effectExtent l="0" t="0" r="0" b="0"/>
                      <wp:wrapNone/>
                      <wp:docPr id="137" name="Frame136"/>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liabilities</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November 30, 2025</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140,075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33,155</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589,935</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55,086</w:t>
            </w:r>
          </w:p>
        </w:tc>
      </w:tr>
      <w:tr>
        <w:trPr/>
        <w:tc>
          <w:tcPr>
            <w:tcW w:w="3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730,010</w:t>
            </w:r>
          </w:p>
        </w:tc>
        <w:tc>
          <w:tcPr>
            <w:tcW w:w="346" w:type="dxa"/>
            <w:tcBorders/>
            <w:shd w:fill="CCEEFF" w:val="clear"/>
            <w:vAlign w:val="center"/>
          </w:tcPr>
          <w:p>
            <w:pPr>
              <w:pStyle w:val="TableContents"/>
              <w:bidi w:val="0"/>
              <w:spacing w:before="0" w:after="0"/>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88,241</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Future minimum lease payments to be paid by the Company as a lessee as of May 31, 2026 are as follows:</w:t>
      </w:r>
    </w:p>
    <w:tbl>
      <w:tblPr>
        <w:tblW w:w="5584" w:type="dxa"/>
        <w:jc w:val="left"/>
        <w:tblInd w:w="0" w:type="dxa"/>
        <w:tblLayout w:type="fixed"/>
        <w:tblCellMar>
          <w:top w:w="0" w:type="dxa"/>
          <w:left w:w="0" w:type="dxa"/>
          <w:bottom w:w="0" w:type="dxa"/>
          <w:right w:w="0" w:type="dxa"/>
        </w:tblCellMar>
      </w:tblPr>
      <w:tblGrid>
        <w:gridCol w:w="4081"/>
        <w:gridCol w:w="346"/>
        <w:gridCol w:w="211"/>
        <w:gridCol w:w="94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591435" cy="175260"/>
                      <wp:effectExtent l="0" t="0" r="0" b="0"/>
                      <wp:wrapNone/>
                      <wp:docPr id="138" name="Frame137"/>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00710" cy="175260"/>
                      <wp:effectExtent l="0" t="0" r="0" b="0"/>
                      <wp:wrapNone/>
                      <wp:docPr id="141" name="Frame1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commitments and lease liability: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127,842</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209,474</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180,665</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179,938</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31,201</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912,657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(182,647)</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730,010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WARRANT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PIPE financing (Note 12), the Company issued warrants to an accredited investor to purchase an aggregate of 2,500,000 shares of common stock of the Company at an exercise price of $12.00 per share, in addition to 29,700 Series A Cumulative Convertible Preferred Stock. The fair value of warrants upon issuance was $4,174,276.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These warrants are accounted for as derivative liabilities as they contain a put option that may be exercised in the event of a fundamental transaction of the Company, pursuant to ASC 480-10, </w:t>
      </w:r>
      <w:r>
        <w:rPr>
          <w:rFonts w:ascii="Times New Roman;Times;serif" w:hAnsi="Times New Roman;Times;serif"/>
          <w:i/>
          <w:sz w:val="20"/>
        </w:rPr>
        <w:t>Distinguishing Liabilities from Equity</w:t>
      </w:r>
      <w:r>
        <w:rPr>
          <w:rFonts w:ascii="Times New Roman;Times;serif" w:hAnsi="Times New Roman;Times;serif"/>
          <w:sz w:val="20"/>
        </w:rPr>
        <w:t>. As such, the warrants are recognized initially at fair value and subsequently remeasured at fair value through earnings, reported as change in fair value of warrant liability in the unaudited condensed consolidated interim statements of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warrant liability is classified within Level 3 of the fair value hierarchy, as the valuation technique uses significant unobservable inputs, including expected volatility and, at issuance, a discount for lack of marketability.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is a continuity of the Company’s derivative warrant liabilities:</w:t>
      </w:r>
    </w:p>
    <w:tbl>
      <w:tblPr>
        <w:tblW w:w="5149" w:type="dxa"/>
        <w:jc w:val="left"/>
        <w:tblInd w:w="0" w:type="dxa"/>
        <w:tblLayout w:type="fixed"/>
        <w:tblCellMar>
          <w:top w:w="0" w:type="dxa"/>
          <w:left w:w="0" w:type="dxa"/>
          <w:bottom w:w="0" w:type="dxa"/>
          <w:right w:w="0" w:type="dxa"/>
        </w:tblCellMar>
      </w:tblPr>
      <w:tblGrid>
        <w:gridCol w:w="3451"/>
        <w:gridCol w:w="346"/>
        <w:gridCol w:w="211"/>
        <w:gridCol w:w="114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1385" cy="175260"/>
                      <wp:effectExtent l="0" t="0" r="0" b="0"/>
                      <wp:wrapNone/>
                      <wp:docPr id="142" name="Frame14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24535" cy="175260"/>
                      <wp:effectExtent l="0" t="0" r="0" b="0"/>
                      <wp:wrapNone/>
                      <wp:docPr id="145" name="Frame1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November 30,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4,174,276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May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21,925,000</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entire change in fair value of the warrant liability during the six months ended May 31, 2026 relates to warrants still outstanding as of May 31, 2026, as none of the warrants have been exercised or settled.</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fair value of the warrant liability arising from 2,500,000 warrants issued with the PIPE financing was calculated using the Monte Carlo model, performed by a third-party valuation specialist. The key inputs used in the Monte Carlo model were as follows:</w:t>
      </w:r>
    </w:p>
    <w:p>
      <w:pPr>
        <w:pStyle w:val="TextBody"/>
        <w:bidi w:val="0"/>
        <w:spacing w:before="0" w:after="0"/>
        <w:ind w:left="0" w:right="0" w:hanging="0"/>
        <w:jc w:val="left"/>
        <w:rPr/>
      </w:pPr>
      <w:r>
        <w:rPr/>
        <w:t>​</w:t>
      </w:r>
    </w:p>
    <w:tbl>
      <w:tblPr>
        <w:tblW w:w="7763" w:type="dxa"/>
        <w:jc w:val="left"/>
        <w:tblInd w:w="0" w:type="dxa"/>
        <w:tblLayout w:type="fixed"/>
        <w:tblCellMar>
          <w:top w:w="0" w:type="dxa"/>
          <w:left w:w="0" w:type="dxa"/>
          <w:bottom w:w="0" w:type="dxa"/>
          <w:right w:w="0" w:type="dxa"/>
        </w:tblCellMar>
      </w:tblPr>
      <w:tblGrid>
        <w:gridCol w:w="2866"/>
        <w:gridCol w:w="346"/>
        <w:gridCol w:w="211"/>
        <w:gridCol w:w="1726"/>
        <w:gridCol w:w="361"/>
        <w:gridCol w:w="211"/>
        <w:gridCol w:w="1726"/>
        <w:gridCol w:w="31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19910" cy="175260"/>
                      <wp:effectExtent l="0" t="0" r="0" b="0"/>
                      <wp:wrapNone/>
                      <wp:docPr id="146" name="Frame14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96010" cy="175260"/>
                      <wp:effectExtent l="0" t="0" r="0" b="0"/>
                      <wp:wrapNone/>
                      <wp:docPr id="149" name="Frame148"/>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50"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96010" cy="175260"/>
                      <wp:effectExtent l="0" t="0" r="0" b="0"/>
                      <wp:wrapNone/>
                      <wp:docPr id="152" name="Frame15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0660" cy="175260"/>
                      <wp:effectExtent l="0" t="0" r="0" b="0"/>
                      <wp:wrapNone/>
                      <wp:docPr id="153" name="Frame1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24, 2026</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61" w:type="dxa"/>
            <w:tcBorders/>
            <w:vAlign w:val="center"/>
          </w:tcPr>
          <w:p>
            <w:pPr>
              <w:pStyle w:val="TableContents"/>
              <w:bidi w:val="0"/>
              <w:spacing w:before="0" w:after="0"/>
              <w:ind w:left="0" w:right="0" w:hanging="0"/>
              <w:jc w:val="left"/>
              <w:rPr/>
            </w:pPr>
            <w:r>
              <w:rPr/>
              <w:t>​</w:t>
            </w:r>
          </w:p>
        </w:tc>
        <w:tc>
          <w:tcPr>
            <w:tcW w:w="1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issuance)</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61"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 reset date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22, 2026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22, 2026</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Floor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for lack of marketability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warrant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 years</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Monte Carlo model is utilized due to the existence of an exercise price reset mechanism attached to these warrants, that could be triggered on the twenty-first trading day following the date that is six months after issuance if the 20-day VWAP of the common stock of the Company (“Measurement Price”) is less than the exercise price of $12.00 per share, with the exercise price being reduced to the greater of the Measurement Price and $7.50.</w:t>
      </w:r>
    </w:p>
    <w:p>
      <w:pPr>
        <w:pStyle w:val="TextBody"/>
        <w:bidi w:val="0"/>
        <w:spacing w:before="0" w:after="0"/>
        <w:ind w:left="36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of May 31, 2026, a discount for lack of marketability for warrant liability valuation has been reduced from 64.1% at issuance to nil, as a resale registration statement became effective on April 24, 2026, making the underlying shares freely tradable. A discount for lack of marketability of 64.1% was selected as of February 24, 2026 to calibrate the valuation model to the transaction price of the PIPE Financing, in line with the AICPA’s Valuation of Portfolio Company Investments of Venture Capital and Private Equity Funds and Other Investment Companies guide.</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Expected volatility was estimated based on the median observed historical share price volatility of a set of comparable publicly traded exploration stage uranium companies that have similar risk considerations as the Company, due to the Company’s limited trading history.</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fair value of the warrant liability is sensitive to changes in the significant unobservable inputs described above. In general, an increase in expected volatility, or a decrease in discount for lack of marketability, would result in a higher fair value of the warrant liability; while a decrease in expected volatility, or an increase in discount for lack of marketability, would result in a lower fair value. The Company’s expected volatility, in particular, was estimated using a limited set of comparable peer companies given the Company’s limited trading history, and different reasonable judgments about the composition of that peer set could have resulted in a different volatility estimate and a materially different fair value measurement as at May 31, 2026.</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STOCKHOLDERS’ EQUITY (DEFICIT) AND MEZZANINE EQUITY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300,000,000 shares of common stock authorized with a par value of $0.0001 per share. Prior to the de-SPAC transaction (Note 4) on February 24, 2026, the Company, being Eagle Energy at the time, had 350,000,000 shares of common stock authorized with a par value of $0.0001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and November 30, 2025, the Company had 29,579,798 and 18,888,289 shares (excluding 2,750,000 shares subject to possible redemption) issued and outstanding,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period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completed its de-SPAC transaction (Note 4), with each share of former nonredeemable Eagle Energy common stock converted to common stock of the Company on a 5.8349:1 basis, representing 18,888,289 shares of common stock. All disclosures in these unaudited condensed consolidated interim financial statements on number of shares have been accordingly converted on the same basis. The former shareholders of SVII received an aggregate of 5,930,033 shares of common stock in the Company as consideration for the de-SPAC transaction. The Company also issued 300,000 shares of common stock in respect of transaction costs. The Company recorded a net contribution from reverse recapitalization of $1,991,184 as a result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(Note 4), 2,750,000 shares of common stock previously subject to redemption were no longer redeemable and reclassified to permanent equity. The Company reclassified $300,000 from redeemable common stock in mezzanine equity to permanent equity.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also issued 1,710,991 shares of common stock with a fair value of $11,959,827 as consideration for the acquisition of Oregon Energy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27, 2026 and May 1, 2026, the Company issued a total of 200 shares of common stock in connection with warrant exercises, at a price of $11.50 per share for total proceeds of $2,300.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26, 2026, the Company issued 285 shares of common stock to a stockholder to rectify an administrative error related to a prior issuance of common stock. The issuance had no incremental fair value and did not result in any additional consideration being exchanged.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2024, the Company completed a private placement offering of 312,007 common shares of the Company, with a par value of $0.0001 per share, at a price of $3.56 per share for total proceeds of $1,110,529. Additionally, 51,414 bonus shares valued at $183,000, of which $167,750 was recognized as obligation to issue shares as of November 30, 2024, and $15,250 was recognized as professional fees in the unaudited condensed consolidated interim statement of operations for the six months ended May 31, 2025, were issued to a consultant for professional services rendered from January 2024 to December 2024.</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2025, the Company completed another private placement offering of 478,871 common shares of the Company, with a par value of $0.0001 per share, at a price of $3.56 per share for total proceeds of $1,704,446.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April 2025, the Company completed a Regulation Crowdfunding offering (“Reg CF”) pursuant to Section 4(a)(6) of the Securities Act of 1933 and Regulation Crowdfunding thereunder. Through this offering, the Company issued a total of 1,318,287 common shares, with a par value of $0.0001 per share, at a price of $3.56 per share, for gross proceeds of $4,692,172. The shares issued are subject to transfer restrictions under applicable securities laws, including a one-year holding period for Reg CF investors.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May 2025, the Company issued an additional 77,644 common shares, with a par value of $0.0001 per share, under its Reg CF offering at a price of $3.56 per share, for gross proceeds of $276,364. An amount of $427 remained receivable as of May 31, 2025. Additionally, the Company completed a private placement offering of 65,274 common shares of the Company, with a par value of $0.0001 per share, at a price of $3.56 per share, for gross proceeds of $232,331. The Company also issued 34,276 shares with a deemed fair value of $3.56 per share as non-cash consideration for consulting services to be rendered from May 2025 to November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six months ended May 31, 2025, the Company incurred a total of $577,120 in share issuance costs paid in cash related to its Reg CF offering and private placements. On May 29, 2025, the Company also issued 97,826 common shares with a deemed fair value of $3.56 per share to the agents in its Reg CF offering as compensation, which is included in share issuance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3,500,000 shares of preferred stock authorized with a par value of $0.0001 per share. Prior to the de-SPAC transaction (Note 4) on February 24, 2026, the Company, being Eagle Energy at the time, had 50,000,000 shares of preferred stock authorized with a par value of $0.0001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and November 30, 2025, the Company had no preferred stock issued and outstanding, excluding 29,700 shares subject to possible redemption as of May 31, 2026.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Mezzanine equity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Redeemable common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July 2025, the Company issued 2,750,000 common shares, with a par value of $0.0001 per share, to an investor pursuant to a Common Stock Purchase Agreement for total proceeds of $300,000. The shares are subject to automatic redemption if the de-SPAC transaction as contemplated by the BCA (Note 4) does not close. In accordance with the ASC 480-10-S99-3A, </w:t>
      </w:r>
      <w:r>
        <w:rPr>
          <w:rFonts w:ascii="Times New Roman;Times;serif" w:hAnsi="Times New Roman;Times;serif"/>
          <w:i/>
          <w:sz w:val="20"/>
        </w:rPr>
        <w:t>Classification and Measurement of Redeemable Securities</w:t>
      </w:r>
      <w:r>
        <w:rPr>
          <w:rFonts w:ascii="Times New Roman;Times;serif" w:hAnsi="Times New Roman;Times;serif"/>
          <w:sz w:val="20"/>
        </w:rPr>
        <w:t>, redemption provisions not solely within the control of the Company require the security to be classified outside of permanent equity. Immediately upon the closing of the private placement, the Company recognized a charge against additional paid-in capital of $170 for share issuance costs incurred in this private placement. On February 24, 2026, upon the completion of the de-SPAC transaction (Note 4), these common shares are no longer redeemable. The face value of $300,000 is reclassified to permanent equity.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amount of redeemable common stock reflected on the unaudited condensed consolidated interim balance sheets is reconciled in the following table:</w:t>
      </w:r>
    </w:p>
    <w:tbl>
      <w:tblPr>
        <w:tblW w:w="5554" w:type="dxa"/>
        <w:jc w:val="left"/>
        <w:tblInd w:w="0" w:type="dxa"/>
        <w:tblLayout w:type="fixed"/>
        <w:tblCellMar>
          <w:top w:w="0" w:type="dxa"/>
          <w:left w:w="0" w:type="dxa"/>
          <w:bottom w:w="0" w:type="dxa"/>
          <w:right w:w="0" w:type="dxa"/>
        </w:tblCellMar>
      </w:tblPr>
      <w:tblGrid>
        <w:gridCol w:w="4051"/>
        <w:gridCol w:w="346"/>
        <w:gridCol w:w="211"/>
        <w:gridCol w:w="94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572385" cy="175260"/>
                      <wp:effectExtent l="0" t="0" r="0" b="0"/>
                      <wp:wrapNone/>
                      <wp:docPr id="154" name="Frame153"/>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00710" cy="175260"/>
                      <wp:effectExtent l="0" t="0" r="0" b="0"/>
                      <wp:wrapNone/>
                      <wp:docPr id="157" name="Frame1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common stock, November 30, 2024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 issuance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adjust carrying value to redemption value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common stock, November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transfer to permanent equity</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Redeemable common stock,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Series A Cumulative Convertible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de-SPAC transaction (Note 4), the Company, Eagle Energy, and SVII entered into an Amended and Restated Securities Purchase Agreement (the “PIPE Agreement”) with an accredited investor, pursuant to which the investor agreed to purchase 29,700 shares of Series A Cumulative Convertible Preferred Stock of the Company for an aggregate price of $29,700,000. The Series A Cumulative Convertible Preferred Stock have an initial stated value of $1,000 per share, and are redeemable at the option of the holder beginning February 24, 2031. The Series A Cumulative Convertible Preferred Stock accrues dividends at 12% annually (if paid in kind), or 10% annually (if paid in cash). Dividends are due semi-annually, on June 1 and December 1. The preferred stock carries rights, preferences, and privileges as set forth in its certificate of designation, including the right to convert into common stock of the Company at any time at the holder’s option, at an initial conversion price of $11.88 per share (subject to adjustment). In addition, the investor received warrants to purchase an aggregate of 2,500,000 shares of common stock of the Company at an exercise price of $12.00 per share, which had a grant-date fair value of $4,174,276. The proceeds of the PIPE financing were first allocated to the liability-classified warrants (Note 11), with residual amounts being allocated to the Series A Cumulative Convertible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Series A Cumulative Convertible Preferred Stock is also redeemable at the option of the Company: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first anniversary of issuance, at a redemption price per share equal to 150% of the initial stated value, plus paid in kind dividends, plus accrued but unpaid cash dividends (the “Accrued Value”);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first anniversary of issuance but prior to the second anniversary of the issuance, at a redemption price per share equal to 140% of the Accrued Value;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second anniversary of issuance but prior to the third anniversary of the issuance, at a redemption price per share equal to 130% of the Accrued Value;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third anniversary of issuance but prior to the fourth anniversary of the issuance, at a redemption price per share equal to 120% of the Accrued Value;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fourth anniversary of issuance but prior to the fifth anniversary of the issuance, at a redemption price per share equal to 110% of the Accrued Value; and,</w:t>
            </w:r>
          </w:p>
        </w:tc>
      </w:tr>
    </w:tbl>
    <w:tbl>
      <w:tblPr>
        <w:tblW w:w="9258" w:type="dxa"/>
        <w:jc w:val="left"/>
        <w:tblInd w:w="0" w:type="dxa"/>
        <w:tblLayout w:type="fixed"/>
        <w:tblCellMar>
          <w:top w:w="0" w:type="dxa"/>
          <w:left w:w="0" w:type="dxa"/>
          <w:bottom w:w="0" w:type="dxa"/>
          <w:right w:w="0" w:type="dxa"/>
        </w:tblCellMar>
      </w:tblPr>
      <w:tblGrid>
        <w:gridCol w:w="23"/>
        <w:gridCol w:w="170"/>
        <w:gridCol w:w="9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fifth anniversary of issuance, at a redemption price per share equal to 100% of the Accrued Value.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amount of redeemable Series A Cumulative Convertible Preferred Stock reflected on the unaudited condensed consolidated interim balance sheets is reconciled in the following table:</w:t>
      </w:r>
    </w:p>
    <w:tbl>
      <w:tblPr>
        <w:tblW w:w="8524" w:type="dxa"/>
        <w:jc w:val="left"/>
        <w:tblInd w:w="0" w:type="dxa"/>
        <w:tblLayout w:type="fixed"/>
        <w:tblCellMar>
          <w:top w:w="0" w:type="dxa"/>
          <w:left w:w="0" w:type="dxa"/>
          <w:bottom w:w="0" w:type="dxa"/>
          <w:right w:w="0" w:type="dxa"/>
        </w:tblCellMar>
      </w:tblPr>
      <w:tblGrid>
        <w:gridCol w:w="6826"/>
        <w:gridCol w:w="346"/>
        <w:gridCol w:w="211"/>
        <w:gridCol w:w="1141"/>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34510" cy="175260"/>
                      <wp:effectExtent l="0" t="0" r="0" b="0"/>
                      <wp:wrapNone/>
                      <wp:docPr id="158" name="Frame157"/>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24535" cy="175260"/>
                      <wp:effectExtent l="0" t="0" r="0" b="0"/>
                      <wp:wrapNone/>
                      <wp:docPr id="161"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Series A Cumulative Convertible Preferred Stock, November 30,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29,700,000</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to warrant liability (Note 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(4,174,276)</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204,076</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Redeemable Series A Cumulative Convertible Preferred Stock,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25,729,800</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the de-SPAC transaction (Note 4), the Company implemented a 2025 Equity Incentive Plan (“EIP”). The Company may grant equity-based awards under the EIP, including options, stock appreciation rights (“SARs”), restricted stock units (“RSUs”), restricted stock awards (“RSAs”) and other stock based awards. The maximum number of shares the Company may issue pursuant to awards granted under the 2025 EIP is 4,437,008 shares,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of directors. As of May 31, 2026, the remaining unused capacity under the 2025 EIP is 2,957,508 shares. During the three and six months ended May 31, 2026, the Company issued 887,375 and 887,375 stock options, respectively, and 592,125 and 592,125 RSUs, respectively.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Earnout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connection with the de-SPAC transaction (Note 4), the Company has reserved an additional 1,500,000 shares of common stock (“Earnout Share Pool”) in the EIP to be granted to eligible shareholders of the Company. During the Earnout Period, if the Earnout Target is met, or if a change of control transaction occurs during the Earnout Period and the Earnout Target was not already met, the Company will grant 1,500,000 Earnout Shares to the eligible shareholders. The Company evaluated the Earnout Shares under ASC 815-40, </w:t>
      </w:r>
      <w:r>
        <w:rPr>
          <w:rFonts w:ascii="Times New Roman;Times;serif" w:hAnsi="Times New Roman;Times;serif"/>
          <w:i/>
          <w:sz w:val="20"/>
        </w:rPr>
        <w:t>Derivatives and Hedging – Contracts in Entity’s Own Equity</w:t>
      </w:r>
      <w:r>
        <w:rPr>
          <w:rFonts w:ascii="Times New Roman;Times;serif" w:hAnsi="Times New Roman;Times;serif"/>
          <w:sz w:val="20"/>
        </w:rPr>
        <w:t>, and concluded the Earnout Shares meet the definition of an equity instrument, and accordingly will be accounted for as part of additional paid-in capital. No Earnout Share has been issued as of May 31, 2026.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15, 2026, the Company granted 750,000 stock options to the Chief Executive Officer (the “CEO”) under the Company’s EIP. The options are exercisable at $10.00 per common share and expire on April 15, 2031. One-third of the options vested immediately on the grant date, with the remaining options vesting in two equal tranches on the first and second anniversaries of the grant date, subject to the recipient’s continued service with the Company.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On May 6, 2026, the Company granted 96,750 stock options to certain officers, employees and consultants under the Company’s EIP. The options are exercisable at $9.15 per common share and expire on May 6, 2031. One-third of the options vested immediately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the grant date, with the remaining options vesting in two equal tranches on the first and second anniversaries of the grant date, subject to the recipient’s continued service with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6, 2026, the Company granted 40,625 stock options to certain directors under the Company’s EIP. The options are exercisable at $9.15 per common share and expire on May 6, 2031. One-half of the options vested immediately on the grant date, with the remaining options vesting on the first anniversary of the grant date, subject to the recipient’s continued service with the Company.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 stock options were issued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stock options is as follows:</w:t>
      </w:r>
    </w:p>
    <w:tbl>
      <w:tblPr>
        <w:tblW w:w="6545" w:type="dxa"/>
        <w:jc w:val="left"/>
        <w:tblInd w:w="0" w:type="dxa"/>
        <w:tblLayout w:type="fixed"/>
        <w:tblCellMar>
          <w:top w:w="0" w:type="dxa"/>
          <w:left w:w="0" w:type="dxa"/>
          <w:bottom w:w="0" w:type="dxa"/>
          <w:right w:w="0" w:type="dxa"/>
        </w:tblCellMar>
      </w:tblPr>
      <w:tblGrid>
        <w:gridCol w:w="2476"/>
        <w:gridCol w:w="346"/>
        <w:gridCol w:w="1876"/>
        <w:gridCol w:w="346"/>
        <w:gridCol w:w="405"/>
        <w:gridCol w:w="10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72260" cy="175260"/>
                      <wp:effectExtent l="0" t="0" r="0" b="0"/>
                      <wp:wrapNone/>
                      <wp:docPr id="162" name="Frame161"/>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91260" cy="175260"/>
                      <wp:effectExtent l="0" t="0" r="0" b="0"/>
                      <wp:wrapNone/>
                      <wp:docPr id="164" name="Frame16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7175" cy="175260"/>
                      <wp:effectExtent l="0" t="0" r="0" b="0"/>
                      <wp:wrapNone/>
                      <wp:docPr id="166" name="Frame16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5960" cy="175260"/>
                      <wp:effectExtent l="0" t="0" r="0" b="0"/>
                      <wp:wrapNone/>
                      <wp:docPr id="167" name="Frame1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stock options</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9.87</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May 31, 2026, the following stock options were outstanding and exercisable:</w:t>
      </w:r>
    </w:p>
    <w:tbl>
      <w:tblPr>
        <w:tblW w:w="10205" w:type="dxa"/>
        <w:jc w:val="left"/>
        <w:tblInd w:w="0" w:type="dxa"/>
        <w:tblLayout w:type="fixed"/>
        <w:tblCellMar>
          <w:top w:w="0" w:type="dxa"/>
          <w:left w:w="0" w:type="dxa"/>
          <w:bottom w:w="0" w:type="dxa"/>
          <w:right w:w="0" w:type="dxa"/>
        </w:tblCellMar>
      </w:tblPr>
      <w:tblGrid>
        <w:gridCol w:w="698"/>
        <w:gridCol w:w="346"/>
        <w:gridCol w:w="713"/>
        <w:gridCol w:w="346"/>
        <w:gridCol w:w="346"/>
        <w:gridCol w:w="571"/>
        <w:gridCol w:w="346"/>
        <w:gridCol w:w="781"/>
        <w:gridCol w:w="346"/>
        <w:gridCol w:w="900"/>
        <w:gridCol w:w="346"/>
        <w:gridCol w:w="214"/>
        <w:gridCol w:w="582"/>
        <w:gridCol w:w="346"/>
        <w:gridCol w:w="781"/>
        <w:gridCol w:w="346"/>
        <w:gridCol w:w="900"/>
        <w:gridCol w:w="346"/>
        <w:gridCol w:w="254"/>
        <w:gridCol w:w="697"/>
      </w:tblGrid>
      <w:tr>
        <w:trPr/>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3230" cy="175260"/>
                      <wp:effectExtent l="0" t="0" r="0" b="0"/>
                      <wp:wrapNone/>
                      <wp:docPr id="168" name="Frame16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2755" cy="175260"/>
                      <wp:effectExtent l="0" t="0" r="0" b="0"/>
                      <wp:wrapNone/>
                      <wp:docPr id="170" name="Frame16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5"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71500" cy="175260"/>
                      <wp:effectExtent l="0" t="0" r="0" b="0"/>
                      <wp:wrapNone/>
                      <wp:docPr id="177" name="Frame17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5890" cy="175260"/>
                      <wp:effectExtent l="0" t="0" r="0" b="0"/>
                      <wp:wrapNone/>
                      <wp:docPr id="179" name="Frame17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9570" cy="175260"/>
                      <wp:effectExtent l="0" t="0" r="0" b="0"/>
                      <wp:wrapNone/>
                      <wp:docPr id="180" name="Frame17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71500" cy="175260"/>
                      <wp:effectExtent l="0" t="0" r="0" b="0"/>
                      <wp:wrapNone/>
                      <wp:docPr id="184" name="Frame18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1290" cy="175260"/>
                      <wp:effectExtent l="0" t="0" r="0" b="0"/>
                      <wp:wrapNone/>
                      <wp:docPr id="186" name="Frame18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42595" cy="175260"/>
                      <wp:effectExtent l="0" t="0" r="0" b="0"/>
                      <wp:wrapNone/>
                      <wp:docPr id="187" name="Frame18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w:t>
            </w:r>
          </w:p>
        </w:tc>
        <w:tc>
          <w:tcPr>
            <w:tcW w:w="31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1"/>
              <w:ind w:left="0" w:right="0" w:hanging="0"/>
              <w:jc w:val="center"/>
              <w:rPr/>
            </w:pPr>
            <w:r>
              <w:rPr/>
              <w:t>​</w:t>
            </w:r>
          </w:p>
        </w:tc>
        <w:tc>
          <w:tcPr>
            <w:tcW w:w="332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 Options</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center"/>
              <w:rPr/>
            </w:pPr>
            <w:r>
              <w:rPr/>
              <w:t>  ​</w:t>
            </w:r>
          </w:p>
        </w:tc>
        <w:tc>
          <w:tcPr>
            <w:tcW w:w="697" w:type="dxa"/>
            <w:tcBorders/>
            <w:vAlign w:val="center"/>
          </w:tcPr>
          <w:p>
            <w:pPr>
              <w:pStyle w:val="TableContents"/>
              <w:bidi w:val="0"/>
              <w:spacing w:before="0" w:after="1"/>
              <w:ind w:left="0" w:right="0" w:hanging="0"/>
              <w:jc w:val="center"/>
              <w:rPr/>
            </w:pPr>
            <w:r>
              <w:rPr/>
              <w:t> </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Expiry</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9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6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9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15-Apr-26</w:t>
            </w:r>
          </w:p>
        </w:tc>
        <w:tc>
          <w:tcPr>
            <w:tcW w:w="346"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15-Apr-31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 years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 years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6-May-26</w:t>
            </w:r>
          </w:p>
        </w:tc>
        <w:tc>
          <w:tcPr>
            <w:tcW w:w="346" w:type="dxa"/>
            <w:tcBorders/>
            <w:vAlign w:val="center"/>
          </w:tcPr>
          <w:p>
            <w:pPr>
              <w:pStyle w:val="TableContents"/>
              <w:bidi w:val="0"/>
              <w:spacing w:before="0" w:after="1"/>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6-May-31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137,375</w:t>
            </w:r>
          </w:p>
        </w:tc>
        <w:tc>
          <w:tcPr>
            <w:tcW w:w="346" w:type="dxa"/>
            <w:tcBorders/>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 years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52,564</w:t>
            </w:r>
          </w:p>
        </w:tc>
        <w:tc>
          <w:tcPr>
            <w:tcW w:w="346" w:type="dxa"/>
            <w:tcBorders/>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 years</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6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 years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302,564</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 years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9.85</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intrinsic value of outstanding options and exercisable options are $187,759 and $68,885,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fair value of the options was determined using the Black-Scholes option pricing model and is recognized as share-based compensation expense over the requisite service period. Based on the below inputs, the Company determined that the stock options had a fair value of $5,783,245 upon issuance during the six months ended May 31, 2026.</w:t>
      </w:r>
    </w:p>
    <w:tbl>
      <w:tblPr>
        <w:tblW w:w="3993" w:type="dxa"/>
        <w:jc w:val="left"/>
        <w:tblInd w:w="0" w:type="dxa"/>
        <w:tblLayout w:type="fixed"/>
        <w:tblCellMar>
          <w:top w:w="0" w:type="dxa"/>
          <w:left w:w="0" w:type="dxa"/>
          <w:bottom w:w="0" w:type="dxa"/>
          <w:right w:w="0" w:type="dxa"/>
        </w:tblCellMar>
      </w:tblPr>
      <w:tblGrid>
        <w:gridCol w:w="1831"/>
        <w:gridCol w:w="346"/>
        <w:gridCol w:w="18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162685" cy="175260"/>
                      <wp:effectExtent l="0" t="0" r="0" b="0"/>
                      <wp:wrapNone/>
                      <wp:docPr id="188" name="Frame18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53160" cy="175260"/>
                      <wp:effectExtent l="0" t="0" r="0" b="0"/>
                      <wp:wrapNone/>
                      <wp:docPr id="190" name="Frame189"/>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  ​ ​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114.01% – 114.36%</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 years – 3 years</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 - 3.99%</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May 31, 2026, the Company recognized stock based compensation relating to stock options of $2,308,868 and $2,308,868 (May 31, 2025 - $Nil and $Nil), respectively, identical as all grants were made during the three months ended May 31, 2026. For the six months ended May 31, 2026, the Company recognized stock based compensation expenses of $1,987,317 in salaries and wages; $283,541 in professional fees (Note 14); and $38,010 in business development. Future unrecognized stock-based compensation expense arising from the stock options amount to $3,474,377.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Restricted stock units (“RSUs”)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15, 2026, the Company granted 250,000 RSUs to its CEO under the Company’s EIP. One-third of the RSUs vested on the grant date, with the remainder vesting equally on the first and second anniversaries of the grant date, subject to continued service. The grant date fair value was $9.52 per 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6, 2026, the Company granted 220,250 RSUs to certain officers, employees and consultants under the Company’s EIP. One-third of the RSUs vested on the grant date, with the remainder vesting equally on the first and second anniversaries of the grant date, subject to continued service. The grant date fair value was $9.15 per 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6, 2026, the Company granted 121,875 RSUs to certain directors under the Company’s EIP. One-half of the RSUs vested on the grant date, with the remainder vesting on the first anniversary of the grant date, subject to continued service. The grant date fair value was $9.15 per RSU.</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 RSUs were issued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RSUs is as follows:</w:t>
      </w:r>
    </w:p>
    <w:tbl>
      <w:tblPr>
        <w:tblW w:w="4188" w:type="dxa"/>
        <w:jc w:val="left"/>
        <w:tblInd w:w="0" w:type="dxa"/>
        <w:tblLayout w:type="fixed"/>
        <w:tblCellMar>
          <w:top w:w="0" w:type="dxa"/>
          <w:left w:w="0" w:type="dxa"/>
          <w:bottom w:w="0" w:type="dxa"/>
          <w:right w:w="0" w:type="dxa"/>
        </w:tblCellMar>
      </w:tblPr>
      <w:tblGrid>
        <w:gridCol w:w="2476"/>
        <w:gridCol w:w="346"/>
        <w:gridCol w:w="136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72260" cy="175260"/>
                      <wp:effectExtent l="0" t="0" r="0" b="0"/>
                      <wp:wrapNone/>
                      <wp:docPr id="191" name="Frame19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67410" cy="175260"/>
                      <wp:effectExtent l="0" t="0" r="0" b="0"/>
                      <wp:wrapNone/>
                      <wp:docPr id="193" name="Frame192"/>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592,125</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592,125</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May 31, 2026, the following RSUs were outstanding and vested:</w:t>
      </w:r>
    </w:p>
    <w:tbl>
      <w:tblPr>
        <w:tblW w:w="6110" w:type="dxa"/>
        <w:jc w:val="left"/>
        <w:tblInd w:w="0" w:type="dxa"/>
        <w:tblLayout w:type="fixed"/>
        <w:tblCellMar>
          <w:top w:w="0" w:type="dxa"/>
          <w:left w:w="0" w:type="dxa"/>
          <w:bottom w:w="0" w:type="dxa"/>
          <w:right w:w="0" w:type="dxa"/>
        </w:tblCellMar>
      </w:tblPr>
      <w:tblGrid>
        <w:gridCol w:w="2236"/>
        <w:gridCol w:w="346"/>
        <w:gridCol w:w="1291"/>
        <w:gridCol w:w="346"/>
        <w:gridCol w:w="18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19860" cy="175260"/>
                      <wp:effectExtent l="0" t="0" r="0" b="0"/>
                      <wp:wrapNone/>
                      <wp:docPr id="194" name="Frame19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19785" cy="175260"/>
                      <wp:effectExtent l="0" t="0" r="0" b="0"/>
                      <wp:wrapNone/>
                      <wp:docPr id="196" name="Frame19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00785" cy="175260"/>
                      <wp:effectExtent l="0" t="0" r="0" b="0"/>
                      <wp:wrapNone/>
                      <wp:docPr id="198" name="Frame19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 outstanding</w:t>
            </w:r>
          </w:p>
        </w:tc>
        <w:tc>
          <w:tcPr>
            <w:tcW w:w="346" w:type="dxa"/>
            <w:tcBorders/>
            <w:vAlign w:val="center"/>
          </w:tcPr>
          <w:p>
            <w:pPr>
              <w:pStyle w:val="TableContents"/>
              <w:bidi w:val="0"/>
              <w:spacing w:before="0" w:after="1"/>
              <w:ind w:left="0" w:right="0" w:hanging="0"/>
              <w:jc w:val="left"/>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left"/>
              <w:rPr/>
            </w:pPr>
            <w:r>
              <w:rPr/>
              <w:t>  ​ ​ ​</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 Vested</w:t>
            </w:r>
          </w:p>
        </w:tc>
      </w:tr>
      <w:tr>
        <w:trPr/>
        <w:tc>
          <w:tcPr>
            <w:tcW w:w="2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15, 2026</w:t>
            </w:r>
          </w:p>
        </w:tc>
        <w:tc>
          <w:tcPr>
            <w:tcW w:w="346" w:type="dxa"/>
            <w:tcBorders/>
            <w:shd w:fill="CCEEFF" w:val="clear"/>
            <w:vAlign w:val="center"/>
          </w:tcPr>
          <w:p>
            <w:pPr>
              <w:pStyle w:val="TableContents"/>
              <w:bidi w:val="0"/>
              <w:spacing w:before="0" w:after="1"/>
              <w:ind w:left="0" w:right="0" w:hanging="0"/>
              <w:jc w:val="left"/>
              <w:rPr/>
            </w:pPr>
            <w:r>
              <w:rPr/>
              <w:t>​</w:t>
            </w:r>
          </w:p>
        </w:tc>
        <w:tc>
          <w:tcPr>
            <w:tcW w:w="1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83,333</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342,125</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6, 2026</w:t>
            </w:r>
          </w:p>
        </w:tc>
        <w:tc>
          <w:tcPr>
            <w:tcW w:w="346" w:type="dxa"/>
            <w:tcBorders/>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134,356</w:t>
            </w:r>
          </w:p>
        </w:tc>
      </w:tr>
      <w:tr>
        <w:trPr/>
        <w:tc>
          <w:tcPr>
            <w:tcW w:w="2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592,125</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217,689</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May 31, 2026, the Company recognized share-based compensation relating to RSUs of $2,287,304 and $2,287,304 (May 31, 2025 - $Nil and $Nil), respectively, identical as all grants were made during the three months ended May 31, 2026. For the six months ended May 31, 2026, the Company recognized stock based compensation expenses of $1,113,593 in salaries and wages; $1,009,143 in professional fees (Note 14); and $164,568 in business development. Future unrecognized stock-based compensation expense arising from the stock options amount to $3,223,140.</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share purchase warrants is as follows:</w:t>
      </w:r>
    </w:p>
    <w:tbl>
      <w:tblPr>
        <w:tblW w:w="8016" w:type="dxa"/>
        <w:jc w:val="left"/>
        <w:tblInd w:w="0" w:type="dxa"/>
        <w:tblLayout w:type="fixed"/>
        <w:tblCellMar>
          <w:top w:w="0" w:type="dxa"/>
          <w:left w:w="0" w:type="dxa"/>
          <w:bottom w:w="0" w:type="dxa"/>
          <w:right w:w="0" w:type="dxa"/>
        </w:tblCellMar>
      </w:tblPr>
      <w:tblGrid>
        <w:gridCol w:w="3526"/>
        <w:gridCol w:w="346"/>
        <w:gridCol w:w="1036"/>
        <w:gridCol w:w="346"/>
        <w:gridCol w:w="450"/>
        <w:gridCol w:w="1005"/>
        <w:gridCol w:w="346"/>
        <w:gridCol w:w="96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39010" cy="175260"/>
                      <wp:effectExtent l="0" t="0" r="0" b="0"/>
                      <wp:wrapNone/>
                      <wp:docPr id="199" name="Frame19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57860" cy="175260"/>
                      <wp:effectExtent l="0" t="0" r="0" b="0"/>
                      <wp:wrapNone/>
                      <wp:docPr id="201" name="Frame2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85750" cy="175260"/>
                      <wp:effectExtent l="0" t="0" r="0" b="0"/>
                      <wp:wrapNone/>
                      <wp:docPr id="203" name="Frame20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38175" cy="175260"/>
                      <wp:effectExtent l="0" t="0" r="0" b="0"/>
                      <wp:wrapNone/>
                      <wp:docPr id="204" name="Frame203"/>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10235" cy="175260"/>
                      <wp:effectExtent l="0" t="0" r="0" b="0"/>
                      <wp:wrapNone/>
                      <wp:docPr id="206" name="Frame20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for PIPE financing</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on reverse recapitalization (Note 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20,922,133</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23,421,916</w:t>
            </w:r>
          </w:p>
        </w:tc>
        <w:tc>
          <w:tcPr>
            <w:tcW w:w="3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following share purchase warrants were outstanding:</w:t>
      </w:r>
    </w:p>
    <w:tbl>
      <w:tblPr>
        <w:tblW w:w="5944" w:type="dxa"/>
        <w:jc w:val="left"/>
        <w:tblInd w:w="0" w:type="dxa"/>
        <w:tblLayout w:type="fixed"/>
        <w:tblCellMar>
          <w:top w:w="0" w:type="dxa"/>
          <w:left w:w="0" w:type="dxa"/>
          <w:bottom w:w="0" w:type="dxa"/>
          <w:right w:w="0" w:type="dxa"/>
        </w:tblCellMar>
      </w:tblPr>
      <w:tblGrid>
        <w:gridCol w:w="2506"/>
        <w:gridCol w:w="346"/>
        <w:gridCol w:w="299"/>
        <w:gridCol w:w="811"/>
        <w:gridCol w:w="346"/>
        <w:gridCol w:w="163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91310" cy="175260"/>
                      <wp:effectExtent l="0" t="0" r="0" b="0"/>
                      <wp:wrapNone/>
                      <wp:docPr id="207" name="Frame20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9865" cy="175260"/>
                      <wp:effectExtent l="0" t="0" r="0" b="0"/>
                      <wp:wrapNone/>
                      <wp:docPr id="209" name="Frame20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14985" cy="175260"/>
                      <wp:effectExtent l="0" t="0" r="0" b="0"/>
                      <wp:wrapNone/>
                      <wp:docPr id="210" name="Frame20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38860" cy="175260"/>
                      <wp:effectExtent l="0" t="0" r="0" b="0"/>
                      <wp:wrapNone/>
                      <wp:docPr id="212" name="Frame21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 outstanding</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Expiry date</w:t>
            </w:r>
          </w:p>
        </w:tc>
      </w:tr>
      <w:tr>
        <w:trPr/>
        <w:tc>
          <w:tcPr>
            <w:tcW w:w="2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0"/>
              <w:ind w:left="0" w:right="0" w:hanging="0"/>
              <w:jc w:val="center"/>
              <w:rPr/>
            </w:pPr>
            <w:r>
              <w:rPr/>
              <w:t>​</w:t>
            </w:r>
          </w:p>
        </w:tc>
        <w:tc>
          <w:tcPr>
            <w:tcW w:w="16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2031</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20,921,916</w:t>
            </w:r>
          </w:p>
        </w:tc>
        <w:tc>
          <w:tcPr>
            <w:tcW w:w="3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2031</w:t>
            </w:r>
          </w:p>
        </w:tc>
      </w:tr>
      <w:tr>
        <w:trPr/>
        <w:tc>
          <w:tcPr>
            <w:tcW w:w="25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23,421,916</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Company classified 20,921,916 warrants as equity and 2,500,000 warrants as liabilities.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period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its reverse recapitalization (Note 4), the Company issued the following warrants: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11,500,000 public warrants to former public shareholders of SVII as replacements for the former SVII public warrants. Each whole warrant entitles the holder to purchase one common stock at an exercise price of $11.50;</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 warrants to the SVII Sponsor for replacement of the former SVII private warrants. Each whole warrant entitles the holder to purchase one common stock at an exercise price of $11.50;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2,422,133 warrants to the SVII Sponsor in exchange for settlement of $2,422,133 of loans owed by SVII to the SVII Sponsor, at $1.00 per share. Each whole warrant entitles the holder to purchase one common stock at an exercise price of $11.50.</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issuance of 2,422,133 warrants in settlement of loans owed by SVII to the SVII Sponsor has been accounted for as a capital transaction with a shareholder of the Company, in connection with the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PIPE financing, the Company issued warrants to an accredited investor to purchase an aggregate of 2,500,000 shares of New Eagle common stock at an exercise price of $12.00 per share. These warrants are classified as liabilities, and had a fair value of $4,174,276 at issuance (Note 11).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27, 2026 and May 1, 2026, public warrants holders exercised an aggregate of 200 warrants for common shares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cancelled 17 public warrants as a result of fractional breakage from conversion from former SVII units upon the reverse recapitalization.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Diluted 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the following anti-dilutive securities as of May 31, 2026 and 2025:</w:t>
      </w:r>
    </w:p>
    <w:tbl>
      <w:tblPr>
        <w:tblW w:w="7040" w:type="dxa"/>
        <w:jc w:val="left"/>
        <w:tblInd w:w="0" w:type="dxa"/>
        <w:tblLayout w:type="fixed"/>
        <w:tblCellMar>
          <w:top w:w="0" w:type="dxa"/>
          <w:left w:w="0" w:type="dxa"/>
          <w:bottom w:w="0" w:type="dxa"/>
          <w:right w:w="0" w:type="dxa"/>
        </w:tblCellMar>
      </w:tblPr>
      <w:tblGrid>
        <w:gridCol w:w="4081"/>
        <w:gridCol w:w="346"/>
        <w:gridCol w:w="1111"/>
        <w:gridCol w:w="346"/>
        <w:gridCol w:w="115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591435" cy="175260"/>
                      <wp:effectExtent l="0" t="0" r="0" b="0"/>
                      <wp:wrapNone/>
                      <wp:docPr id="213" name="Frame212"/>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05485" cy="175260"/>
                      <wp:effectExtent l="0" t="0" r="0" b="0"/>
                      <wp:wrapNone/>
                      <wp:docPr id="215" name="Frame21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34060" cy="175260"/>
                      <wp:effectExtent l="0" t="0" r="0" b="0"/>
                      <wp:wrapNone/>
                      <wp:docPr id="217" name="Frame2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23,421,916</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592,125</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Cumulative Convertible Preferred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28,901,416</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$135,030 (for the six months ended May 31, 2025 - $90,000) in fees to the CEO of the Company, and $25,000 of bonus to the CEO (for the six months ended May 31, 2025 - $Nil) payable upon completion of the de-SPAC transaction (Note 4). As of May 31, 2026, $60,030 of CEO fees (November 30, 2025 - $15,000), and $12,886 in expense reimbursements (November 30, 2025 - $Nil) were included in due to related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$78,009 (for the six months ended May 31, 2025 - $Nil) in fees to the Chief Financial Officer (the “CFO”) of the Company. As of May 31, 2026, $24,259 of CFO fees (November 30, 2025 - $10,750) and $1,947 in expense reimbursements (November 30, 2025 - $Nil)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$Nil (for the six months ended May 31, 2025 - $90,000) in fees with a company controlled by the former Chief Financial Officer (the “former CFO”) of the Company. As of May 31, 2026, $Nil of former CFO fees (November 30, 2025 - $15,000) and $Nil in expense reimbursements (November 30, 2025 - $Nil)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$72,500 (for the six months ended May 31, 2025 - $90,000) of consulting fees with a company controlled by a director of the Company. As of May 31, 2026, $15,000 (November 30, 2025 - $22,500) of consulting fees and $6,008 (November 30, 2025 - $7,971) in expense reimbursements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$135,000 (for the six months ended May 31, 2025 - $231,250) of consulting fees with a company (for the six months ended May 31, 2025 - two companies) controlled by a stockholder of the Company. As of May 31, 2026, $Nil (November 30, 2025 - $67,875) of consulting fees and $Nil (November 30, 2025 - $128,064) in expense reimbursements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Additionally, there was one stockholder who held over 5% of the Company’s common stock during the six months ended May 31, 2025 that provided consulting services to the Company. The stockholder no longer holds over 5% of the Company’s common stock during the six months ended May 31, 2026. During the six months ended May 31, 2026, the Company incurred $Nil (for the six months ended May 31, 2025 - $90,250) of consulting fees with this stockholder. As of May 31, 2026, $Nil (November 30, 2025 - $12,865) was included in due to related parties for amounts relating to expense reimbursements due to a stockholder.</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granted the following stock options and RSUs to related parties: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 stock options with grant date fair value of $4,917,072 and 250,000 RSUs with grant date fair value of $2,380,000 to the CEO;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 stock options with grant date fair value of $89,084 and 42,000 RSUs with grant date fair value of $384,300 to the CFO;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40,625 stock options with grant date fair value of $250,536 and 121,875 RSUs with grant date fair value of $1,115,156 to four directors.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$3,069,747 (for the six months ended May 31, 2025 - $Nil) of stock based compensation to the CEO and CFO, recognized in salaries and wages; and $731,157 (for the six months ended May 31, 2025 - $Nil) of stock based compensation to the Company’s directors, recognized in professional fees (Note 14).</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PROFESSIONAL FEES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Details of professional fees are presented below:</w:t>
      </w:r>
    </w:p>
    <w:tbl>
      <w:tblPr>
        <w:tblW w:w="8501" w:type="dxa"/>
        <w:jc w:val="left"/>
        <w:tblInd w:w="0" w:type="dxa"/>
        <w:tblLayout w:type="fixed"/>
        <w:tblCellMar>
          <w:top w:w="0" w:type="dxa"/>
          <w:left w:w="0" w:type="dxa"/>
          <w:bottom w:w="0" w:type="dxa"/>
          <w:right w:w="0" w:type="dxa"/>
        </w:tblCellMar>
      </w:tblPr>
      <w:tblGrid>
        <w:gridCol w:w="2476"/>
        <w:gridCol w:w="346"/>
        <w:gridCol w:w="211"/>
        <w:gridCol w:w="931"/>
        <w:gridCol w:w="346"/>
        <w:gridCol w:w="235"/>
        <w:gridCol w:w="875"/>
        <w:gridCol w:w="346"/>
        <w:gridCol w:w="211"/>
        <w:gridCol w:w="931"/>
        <w:gridCol w:w="346"/>
        <w:gridCol w:w="211"/>
        <w:gridCol w:w="103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72260" cy="175260"/>
                      <wp:effectExtent l="0" t="0" r="0" b="0"/>
                      <wp:wrapNone/>
                      <wp:docPr id="218" name="Frame21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21" name="Frame2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9225" cy="175260"/>
                      <wp:effectExtent l="0" t="0" r="0" b="0"/>
                      <wp:wrapNone/>
                      <wp:docPr id="223" name="Frame22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55625" cy="175260"/>
                      <wp:effectExtent l="0" t="0" r="0" b="0"/>
                      <wp:wrapNone/>
                      <wp:docPr id="224" name="Frame22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57860" cy="175260"/>
                      <wp:effectExtent l="0" t="0" r="0" b="0"/>
                      <wp:wrapNone/>
                      <wp:docPr id="230" name="Frame2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596,803</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899,203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690,192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accounting and others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682,881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343,261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compensation</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731,157</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731,157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1,213,453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OFFICE AND ADMINISTRATIVE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Details of office and administrative are presented below:</w:t>
      </w:r>
    </w:p>
    <w:tbl>
      <w:tblPr>
        <w:tblW w:w="8020" w:type="dxa"/>
        <w:jc w:val="left"/>
        <w:tblInd w:w="0" w:type="dxa"/>
        <w:tblLayout w:type="fixed"/>
        <w:tblCellMar>
          <w:top w:w="0" w:type="dxa"/>
          <w:left w:w="0" w:type="dxa"/>
          <w:bottom w:w="0" w:type="dxa"/>
          <w:right w:w="0" w:type="dxa"/>
        </w:tblCellMar>
      </w:tblPr>
      <w:tblGrid>
        <w:gridCol w:w="2116"/>
        <w:gridCol w:w="346"/>
        <w:gridCol w:w="235"/>
        <w:gridCol w:w="876"/>
        <w:gridCol w:w="346"/>
        <w:gridCol w:w="263"/>
        <w:gridCol w:w="848"/>
        <w:gridCol w:w="346"/>
        <w:gridCol w:w="211"/>
        <w:gridCol w:w="931"/>
        <w:gridCol w:w="346"/>
        <w:gridCol w:w="245"/>
        <w:gridCol w:w="91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43660" cy="175260"/>
                      <wp:effectExtent l="0" t="0" r="0" b="0"/>
                      <wp:wrapNone/>
                      <wp:docPr id="231" name="Frame23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9225" cy="175260"/>
                      <wp:effectExtent l="0" t="0" r="0" b="0"/>
                      <wp:wrapNone/>
                      <wp:docPr id="233" name="Frame23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56260" cy="175260"/>
                      <wp:effectExtent l="0" t="0" r="0" b="0"/>
                      <wp:wrapNone/>
                      <wp:docPr id="234" name="Frame233"/>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7005" cy="175260"/>
                      <wp:effectExtent l="0" t="0" r="0" b="0"/>
                      <wp:wrapNone/>
                      <wp:docPr id="236" name="Frame23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38480" cy="175260"/>
                      <wp:effectExtent l="0" t="0" r="0" b="0"/>
                      <wp:wrapNone/>
                      <wp:docPr id="237" name="Frame23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185" cy="175260"/>
                      <wp:effectExtent l="0" t="0" r="0" b="0"/>
                      <wp:wrapNone/>
                      <wp:docPr id="240" name="Frame2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5575" cy="175260"/>
                      <wp:effectExtent l="0" t="0" r="0" b="0"/>
                      <wp:wrapNone/>
                      <wp:docPr id="242" name="Frame24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78485" cy="175260"/>
                      <wp:effectExtent l="0" t="0" r="0" b="0"/>
                      <wp:wrapNone/>
                      <wp:docPr id="243" name="Frame24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75,043</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173,679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89,994</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charges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224,900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241,466</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305,360</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536,476</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company costs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225,282</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283,640</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91,580</w:t>
            </w:r>
          </w:p>
        </w:tc>
      </w:tr>
    </w:tbl>
    <w:p>
      <w:pPr>
        <w:pStyle w:val="TextBody"/>
        <w:bidi w:val="0"/>
        <w:spacing w:before="0" w:after="240"/>
        <w:ind w:left="36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COMMITMENTS AND CONTINGENCIES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Commitments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was paid during the six months ended May 31, 2026. Following the de-SPAC transaction, the CEO is expected to enter into an executive employment agreement with the Company, which was approved by the board on June 5, 2026 (Note 19). Pursuant to the new executive employment agreement, the CEO will be entitled to receive (i) $50,000 of cash bonus payable upon the commencement of the Company’s technical work program at the AUP; and, at the board’s approval, (ii) 183,333 RSUs pursuant to the EIP; and, (iii) additional equity awards consisting of a mix of stock options and RSUs totaling 1,000,000 shares, with allocations to be determined by the Company’s board of directors. The additional equity awards totaling 1,000,000 shares, consisting of 750,000 stock options and 250,000 RSUs, were granted to the CEO on April 15, 2026 (Note 13).</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1, 2024, the Company began leasing office space on a month-to-month basis from an unrelated third party under an operating lease agreement. The monthly payments approximate $7,500 (CAD$10,500) and ancillary expenses. This operating lease agreement has been terminated as of March 31, 2026. During the six months ended May 31, 2026, rent expense under this agreement totaled $30,274 (for the six months ended May 31, 2025 - $48,943).</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September 29, 2025, the Company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(Note 4).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1-to-84.18, subject to adjustments. In connection with the PIPE Issuance, the Company also issued to the investor 2,500,000 warrants with an exercise price of $12.00 per share (Note 12). As of May 31, 2026, the Company accrued dividends of $781,151.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15, 2025, the Company entered into a consulting agreement with the CFO of the Company. Pursuant to the agreement, the Company will use commercially reasonable efforts to issue 90,000 stock options to the CFO upon completion of listing on Nasdaq. As of May 31, 2026, the Company issued 14,000 stock options and 42,000 RSUs to the CFO. A commitment to issue 34,000 stock options remains yet to be met. Following the de-SPAC transaction, the CFO is expected to enter into an executive employment agreement with the Company, which was approved by the board on June 5, 2026 (Note 19). Pursuant to the new executive employment agreement, the CFO may receive an additional 10,000 RSUs pursuant to the EIP, subject to the board’s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16, 2025, the Company entered into an operating lease agreement from an unrelated third party for the office space in New York for 62 months, which commenced on January 1, 2026 (Note 10). The monthly payments approximate $14,457 and ancillary expenses. During the period ended May 31, 2026, rent expense under this agreement totaled $71,118 (May 31, 2025 -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3, 2025, the Company entered into an operating lease agreement from an unrelated third party for the office space in Vancouver for 2 years (Note 10). The monthly payments approximate $4,211 (CAD $5,787) and ancillary expenses. During the period ended May 31, 2026, rent expense under this agreement totaled $22,463 (May 31, 2025 -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(Note 4), the Company granted the right to certain shareholders of the Company to receive Earnout Shares (Note 12). During the Earnout Period until February 24, 2031, if the Earnout Target is met, or if a change of control transaction occurs during the Earnout Period and the Earnout Target was not already met, the Company will grant 1,500,000 Earnout Shares to the eligible shareholders. No Earnout Share has been issued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27, 2026, the Company entered into a drilling services agreement with Harris Exploration Drilling &amp; Associates Inc. to complete a 27,000 ft drill program at the AUP to address data gaps and advance the AUP towards a pre-feasibility study. The drill program is expected to commence in July 2026, subject to requisite permit approvals from BLM and DOGAMI. The agreement may be terminated for convenience at any time by the Company with 30 days prior written notice at no penalty, with only payment required for work actually performed up to the effective date of termination and for reasonable, documented demobilization costs directly resulting from such termination.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28, 2026, the Company entered into a services agreement with Tensor Medium Corporation, an advanced algorithm and artificial intelligence company, to support reactor modeling, simulation and optimization efforts connected to the Company’s SMR program, including reactor engineering support, materials optimization, quantum development, and support for future licensing readiness in connection with the Company’s SMR development initiatives. The contract is for a term of 12 months and may be terminated for convenience at any time by either party with 30 days prior written notice at no penalty.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could potentially become involved in various lawsuits, actions and claims, from time to time, arising in the ordinary course of business, although management is not aware of any such lawsuits, actions or claims at the date of issuance of these unaudited condensed consolidated interim financial statements. In management’s opinion, should any such items occur, the ultimate outcome will not have a material adverse effect on the financial position or results of operations of the Company.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RISK CONCENTRATION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 of risk, consist principally of cash and accounts payable and accrued liabilities. The total uninsured cash balance as of May 31, 2026 was $27,748,634 (November 30, 2025 - $980,411). The uninsured cash balance located in Canada was $160,081 and the uninsured cash balance located in the United States was $27,588,553.</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SEGMENT INFORMATION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entity for which separate financial information is available and regularly reviewed by the Chief Operating Decision Maker (“CODM”) in deciding how to allocate resources and assess performance. The Company’s CODM is the Chief Executive Officer. The Company has determined that it operates in a single operating segment in a single geographic region, as the Company is an integrated uranium exploration and SMR development operation in North America.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CODM receives and reviews financial information on a consolidated basis. The CODM evaluates performance and allocates resources based on consolidated net loss, as presented in the Company’s unaudited condensed consolidated interim statement of operations, and monitors budget-to-actual variances for significant expense categories given their direct relationship to cash burn. The CODM also reviews the consolidated balance sheet to assess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Segment assets are the same as consolidated total assets of $43,089,741 as of May 31, 2026, and $2,887,962 as of November 30,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table below summarizes the significant expense categories regularly reviewed by the CODM, and reconciles to the Company’s condensed consolidated net loss as presented in the unaudited condensed consolidated statement of operations:</w:t>
      </w:r>
    </w:p>
    <w:tbl>
      <w:tblPr>
        <w:tblW w:w="10078" w:type="dxa"/>
        <w:jc w:val="left"/>
        <w:tblInd w:w="0" w:type="dxa"/>
        <w:tblLayout w:type="fixed"/>
        <w:tblCellMar>
          <w:top w:w="0" w:type="dxa"/>
          <w:left w:w="0" w:type="dxa"/>
          <w:bottom w:w="0" w:type="dxa"/>
          <w:right w:w="0" w:type="dxa"/>
        </w:tblCellMar>
      </w:tblPr>
      <w:tblGrid>
        <w:gridCol w:w="3331"/>
        <w:gridCol w:w="346"/>
        <w:gridCol w:w="226"/>
        <w:gridCol w:w="1156"/>
        <w:gridCol w:w="346"/>
        <w:gridCol w:w="226"/>
        <w:gridCol w:w="1051"/>
        <w:gridCol w:w="346"/>
        <w:gridCol w:w="226"/>
        <w:gridCol w:w="1156"/>
        <w:gridCol w:w="346"/>
        <w:gridCol w:w="226"/>
        <w:gridCol w:w="109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15185" cy="175260"/>
                      <wp:effectExtent l="0" t="0" r="0" b="0"/>
                      <wp:wrapNone/>
                      <wp:docPr id="244" name="Frame243"/>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3510" cy="175260"/>
                      <wp:effectExtent l="0" t="0" r="0" b="0"/>
                      <wp:wrapNone/>
                      <wp:docPr id="246" name="Frame2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34060" cy="175260"/>
                      <wp:effectExtent l="0" t="0" r="0" b="0"/>
                      <wp:wrapNone/>
                      <wp:docPr id="247" name="Frame24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3510" cy="175260"/>
                      <wp:effectExtent l="0" t="0" r="0" b="0"/>
                      <wp:wrapNone/>
                      <wp:docPr id="249" name="Frame2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67385" cy="175260"/>
                      <wp:effectExtent l="0" t="0" r="0" b="0"/>
                      <wp:wrapNone/>
                      <wp:docPr id="250" name="Frame2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3510" cy="175260"/>
                      <wp:effectExtent l="0" t="0" r="0" b="0"/>
                      <wp:wrapNone/>
                      <wp:docPr id="252" name="Frame2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34060" cy="175260"/>
                      <wp:effectExtent l="0" t="0" r="0" b="0"/>
                      <wp:wrapNone/>
                      <wp:docPr id="253" name="Frame25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3510" cy="175260"/>
                      <wp:effectExtent l="0" t="0" r="0" b="0"/>
                      <wp:wrapNone/>
                      <wp:docPr id="255" name="Frame2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5960" cy="175260"/>
                      <wp:effectExtent l="0" t="0" r="0" b="0"/>
                      <wp:wrapNone/>
                      <wp:docPr id="256" name="Frame2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six </w:t>
            </w:r>
          </w:p>
        </w:tc>
        <w:tc>
          <w:tcPr>
            <w:tcW w:w="346" w:type="dxa"/>
            <w:tcBorders/>
            <w:vAlign w:val="center"/>
          </w:tcPr>
          <w:p>
            <w:pPr>
              <w:pStyle w:val="TableContents"/>
              <w:bidi w:val="0"/>
              <w:spacing w:before="0" w:after="1"/>
              <w:ind w:left="0" w:right="0" w:hanging="0"/>
              <w:jc w:val="center"/>
              <w:rPr/>
            </w:pPr>
            <w:r>
              <w:rPr/>
              <w:t>  ​ ​ ​</w:t>
            </w:r>
          </w:p>
        </w:tc>
        <w:tc>
          <w:tcPr>
            <w:tcW w:w="13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six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center"/>
              <w:rPr/>
            </w:pPr>
            <w:r>
              <w:rPr/>
              <w:t>​</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left"/>
              <w:rPr/>
            </w:pPr>
            <w:r>
              <w:rPr/>
              <w:t>​</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center"/>
              <w:rPr/>
            </w:pPr>
            <w:r>
              <w:rPr/>
              <w:t>​</w:t>
            </w:r>
          </w:p>
        </w:tc>
        <w:tc>
          <w:tcPr>
            <w:tcW w:w="13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2026</w:t>
            </w:r>
          </w:p>
        </w:tc>
        <w:tc>
          <w:tcPr>
            <w:tcW w:w="346" w:type="dxa"/>
            <w:tcBorders/>
            <w:vAlign w:val="center"/>
          </w:tcPr>
          <w:p>
            <w:pPr>
              <w:pStyle w:val="TableContents"/>
              <w:bidi w:val="0"/>
              <w:spacing w:before="0" w:after="1"/>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2025</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2026</w:t>
            </w:r>
          </w:p>
        </w:tc>
        <w:tc>
          <w:tcPr>
            <w:tcW w:w="346" w:type="dxa"/>
            <w:tcBorders/>
            <w:vAlign w:val="center"/>
          </w:tcPr>
          <w:p>
            <w:pPr>
              <w:pStyle w:val="TableContents"/>
              <w:bidi w:val="0"/>
              <w:spacing w:before="0" w:after="1"/>
              <w:ind w:left="0" w:right="0" w:hanging="0"/>
              <w:jc w:val="center"/>
              <w:rPr/>
            </w:pPr>
            <w:r>
              <w:rPr/>
              <w:t>​</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2025</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1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0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1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096" w:type="dxa"/>
            <w:tcBorders/>
            <w:shd w:fill="CCEEFF" w:val="clear"/>
            <w:vAlign w:val="center"/>
          </w:tcPr>
          <w:p>
            <w:pPr>
              <w:pStyle w:val="TableContents"/>
              <w:bidi w:val="0"/>
              <w:spacing w:before="0" w:after="1"/>
              <w:ind w:left="0" w:right="0" w:hanging="0"/>
              <w:jc w:val="center"/>
              <w:rPr/>
            </w:pPr>
            <w:r>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91,580</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1,213,453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676,569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197,349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996,893</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323,085</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(25,061,947)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(26,533,829)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(1,692,101)</w:t>
            </w:r>
          </w:p>
        </w:tc>
      </w:tr>
    </w:tbl>
    <w:p>
      <w:pPr>
        <w:pStyle w:val="TextBody"/>
        <w:bidi w:val="0"/>
        <w:spacing w:before="0" w:after="240"/>
        <w:ind w:left="360" w:right="0" w:hanging="0"/>
        <w:jc w:val="both"/>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Other segment items consist of business development, amortization and depreciation, rent expense, investor relations, licensing fee expense, travel and entertainment, interest income, and loss on foreign currency transactions.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evaluated all events and transactions occurring subsequent to May 31,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5, 2026, the board of directors of the Company approved and ratified the written CEO and CFO employment agreements, effective upon the consummation of the de-SPAC, with annualized base salaries at $350,000 and $180,000, respectively, and eligibility to receive certain incentive bonuses and to participate in the EIP of the Company, as disclosed in Note 16.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2. Management’s Discussion and Analysis of Financial Condition and Results of Operations</w:t>
      </w:r>
      <w:bookmarkStart w:id="12" w:name="Item2ManagementsDiscussionandAnalysisofF"/>
      <w:bookmarkEnd w:id="12"/>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the Company’s financial condition and results of operations should be read in conjunction with the unaudited condensed consolidated interim financial statements and related notes contained therein which have been prepared in accordance with US GAAP.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Quarterly Report. All figures are in US dollars unless otherwise noted. Unless the context otherwise requires, for the purposes of this section, “Eagle Nuclear”, “we”, “us”, “our”, or the “Company” refer to Eagle Nuclear Energy Corp. and its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Eagle Nuclear Energy Corp. was incorporated on December 19, 2025, under the laws of the state of Nevada.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corporate office and mailing address are located at 5470 Kietzke Lane, Suite 300, Reno, NV 89511 and the Company’s phone number is (775) 335-2029. The Company’s website address is https://eaglenuclear.com. Information contained on our website or connected thereto does not constitute part of, and is not incorporated by reference into, this Quarterly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yet commenced its principal operations as of May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acquisition of Oregon Energy LLC (“Oregon Energy”) on February 24, 2026, the Company currently owns mining claims to explore and extract uranium (Aurora Uranium Project (“AUP”)) located in Malheur County, Oregon, approximately 16 kilometers northwest of McDermitt, Nevada. As of May 31, 2026, the Company holds 263 unpatented lode mining claims and 71 unpatented placer mining claims in the AUP, along with 27 unpatented placer mining claims in Humboldt County, Nevada. These claims collectively cover an area of approximately 43 square kilometers.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Formation and Reverse Recapitalization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as a subsidiary of Spring Valley Acquisition Corp. II (“SVII”), a special purpose acquisition corporation incorporated in the Cayman Islands, for the purpose of completing a reverse acquisition between Eagle Energy Metals Corp. (“Eagle Energy”) and SVII,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Former shareholders of SVII received 3,630,051 shares of common stock in the Company, representing a one-for-one exchange of shares of Class A and Class B common stock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 A further 300,000 shares of common stock was issued to a service provider in consideration for transaction costs associated with the de-SPAC transaction.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common stock and public warrants of the Company began trading on Nasdaq under the ticker symbols of “NUCL” and “NUCLW”, respectively, on February 25,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Engagement of consultant to support reactor simulation and optimization for SMR program</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June 9, 2026, the Company announced it has engaged Tensor Medium Corporation, an advanced algorithm and artificial intelligence company, to support reactor modeling, simulation and optimization efforts connected to the Company’s SMR program, including reactor engineering support, materials optimization, quantum development, and support for future licensing readiness in connection with the Company’s SMR development initiatives.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Commencement of environmental baseline studies at AUP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announced its intention to conduct a 27,000 ft drill program at the AUP during the summer of 2026, pursuant to a comprehensive “Gap Analysis” study completed by the Company’s resource consultants, designed to address data gaps at the AUP in order to advance the AUP towards a pre-feasibility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these studies, the Company announced on April 9, 2026 that it has entered into a Drilling Services Agreement with Harris Exploration Drilling &amp; Associates Inc. of Fallon, NV to complete the drill program, with program commencement expected to be in July 2026, subject to requisite permit approvals from the federal Bureau of Land Management (“BLM”) and the Oregon Department of Geology and Mineral Industries (“DOGAMI”), with permitting efforts led by SLR International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Pre-drilling environmental baseline studies are under way to collect meteorological, hydrological, cultural, and archeological data, with additional environmental baseline studies expected to be undertaken in advance of commencement of drilling. In connection with these efforts, the Company has completed the installation of a 10-meter high meteorological station at the AUP for the collection of ambient weather and atmospheric data, including wind speed and direction, temperature, humidity, barometric pressure, and solar radiation.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PIPE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completed a PIPE Financing and raised $29,700,000, in exchange for the issuance of 29,700 shares of Series A Cumulative Convertible Preferred Stock, which are initially convertible into common stock on a 1-to-84.18 basis, and 2,500,000 PIPE warrants. The Series A Cumulative Convertible Preferred Stock have an initial stated value of $1,000 per share, are redeemable at the option of the holder beginning February 24, 2031, and accrues dividends at 12% annually (if paid in kind), or 10% annually (if paid in cash).</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Acquisition of Oregon Energy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Eagle Energy, a subsidiary of the Company, previously entered into a property option agreement with Aurora Energy Metals Ltd. (“Aurora”) (the “Aurora Option Agreement”) on November 18, 2024 for a property option agreement over Oregon Energy, and paid an aggregate of $1,000,000 in option and extension payments (for extension options triggered on May 18, 2025 and November 18, 2025), as well as $219,545 in reimbursements of mining expenditures of Oregon Energy, pursuant to the terms of the Aurora Option Agreement, which Eagle Energy was committed to reimburse up to $500,000 of exploration expenditures of Oregon Energy due to the triggering of the extension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immediately before the completion of the de-SPAC transaction,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the Company issued 1,710,991 shares of common stock to Aurora Energy for the acquisition of 100% interest in Oregon Energy, upon the completion of the de-SPAC transaction. The number of shares issued was calculated based on a “listing payment” of $16,000,000, upward adjusted for 50% of the increase in uranium spot price between November 18, 2024 and February 24, 2026, to $17,109,910. The number of shares issued, being 1,710,991 shares, was based on the deemed transaction price of $10 per share in the BCA, as the Company’s listing event that triggered the exercise of the option to acquire Oregon Energy was a reverse acquisition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upon completion of a positive pre-feasibility study on the project following the listing of the Company on Nasdaq, the Company will issue to Aurora Energy additional payment shares (the “Pre-Feasibility Bonus”) with a value of $5,000,000, determined by the 30-day VWAP of the Company’s shares during the 30 days prior to the announcement of the pre-feasibility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 The Company has a right to repurchase one-half of the NSR for $1,000,000; or the entire NSR for $2,000,000; and has a right of first refusal of any proposed sale by Aurora Energy of all or part of the NSR.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In 2025, Eagle Energy, a subsidiary of the Company, engaged BBA USA Inc, to complete a S-K 1300 Technical Report Summary on the AUP (the “S-K 1300 AUP TRS”). BBA USA Inc completed the S-K 1300 AUP TRS which is entitled </w:t>
      </w:r>
      <w:r>
        <w:rPr>
          <w:rFonts w:ascii="Times New Roman;Times;serif" w:hAnsi="Times New Roman;Times;serif"/>
          <w:i/>
          <w:sz w:val="20"/>
        </w:rPr>
        <w:t>S-K 1300 Technical Report Summary Mineral Resources Estimate for the Aurora Uranium Project; Report Date: August 8, 2025</w:t>
      </w:r>
      <w:r>
        <w:rPr>
          <w:rFonts w:ascii="Times New Roman;Times;serif" w:hAnsi="Times New Roman;Times;serif"/>
          <w:sz w:val="20"/>
        </w:rPr>
        <w:t>. The report was filed with the Securities and Exchange Commission on September 30, 2025, as an exhibit to a Form S-4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Results of Operations – For the Six Months Ended May 31, 2026 and 2025 (unaudited):</w:t>
      </w:r>
    </w:p>
    <w:tbl>
      <w:tblPr>
        <w:tblW w:w="9459" w:type="dxa"/>
        <w:jc w:val="center"/>
        <w:tblInd w:w="0" w:type="dxa"/>
        <w:tblLayout w:type="fixed"/>
        <w:tblCellMar>
          <w:top w:w="0" w:type="dxa"/>
          <w:left w:w="0" w:type="dxa"/>
          <w:bottom w:w="0" w:type="dxa"/>
          <w:right w:w="0" w:type="dxa"/>
        </w:tblCellMar>
      </w:tblPr>
      <w:tblGrid>
        <w:gridCol w:w="3946"/>
        <w:gridCol w:w="346"/>
        <w:gridCol w:w="1156"/>
        <w:gridCol w:w="346"/>
        <w:gridCol w:w="1111"/>
        <w:gridCol w:w="346"/>
        <w:gridCol w:w="1156"/>
        <w:gridCol w:w="346"/>
        <w:gridCol w:w="70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505710" cy="175260"/>
                      <wp:effectExtent l="0" t="0" r="0" b="0"/>
                      <wp:wrapNone/>
                      <wp:docPr id="257" name="Frame256"/>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34060" cy="175260"/>
                      <wp:effectExtent l="0" t="0" r="0" b="0"/>
                      <wp:wrapNone/>
                      <wp:docPr id="259" name="Frame25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05485" cy="175260"/>
                      <wp:effectExtent l="0" t="0" r="0" b="0"/>
                      <wp:wrapNone/>
                      <wp:docPr id="261" name="Frame26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34060" cy="175260"/>
                      <wp:effectExtent l="0" t="0" r="0" b="0"/>
                      <wp:wrapNone/>
                      <wp:docPr id="263" name="Frame26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48310" cy="175260"/>
                      <wp:effectExtent l="0" t="0" r="0" b="0"/>
                      <wp:wrapNone/>
                      <wp:docPr id="265" name="Frame26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63,983</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659,937</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91,580</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1,147,105</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1,213,453</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1,256,308</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48,943</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104,655</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287,971</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269,552</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(8,769,544)</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(1,687,511)</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(7,082,033)</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(13,592)</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(26,533,829)</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(1,692,101)</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(24,841,728)</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Preferred stock dividends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(27,314,980)</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(1,692,101)</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(25,622,879)</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a net loss of $26,533,829 compared to a net loss of $1,692,101 for the six months ended May 31, 2025. An analysis of the increase in net loss of $24,841,728 including the major components of our results for the periods, is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development expenses for the six months ended May 31, 2026, was $348,277, an increase of $348,277 compared to $Nil for the six months ended May 31, 2025. This increase is primarily driven by the Company’s engagement of external business development firms as part of its previous efforts to complete its go public transaction, and continued engagement with the capital market. Expenditure on business development is inclusive of stock-based compensation of $223,038 in connection with stock options and RSUs granted to business development consultants during the six months ended May 31, 2026.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Exploration expenses for the six months ended May 31, 2026, was $723,920, an increase of $659,937 compared to $63,983 for the six months ended May 31, 2025. The increase is primarily driven by activities undertaken by the Company on mineral rights assessments and other related work in connection with the Aurora Uranium Project, in connection with its ongoing environmental baseline studies in preparation for the commencement of a new exploration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Office and administrative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Office and administrative expenses for the six months ended May 31, 2026, were $1,238,685, an increase of $1,147,105 compared to $91,580 for the six months ended May 31, 2025. This increase is primarily driven by expanded operations. This mainly includes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increase of $536,476 in marketing expenses incurred by the Company for various advertising and promotional activities in connection with the Company’s recent listing, an increase of $241,466 in insurance expenses, and an increase of $283,640 in public company costs incurred for Nasdaq listing and other public company filing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the six months ended May 31, 2026, were $2,469,761, an increase of $1,256,308 compared to $1,213,453 for the six months ended May 31, 2025. This increase is primarily driven by stock-based compensation of $1,292,686 in connection with stock options and RSUs granted during the six months ended May 31, 2026 to directors, and consultants of the Company during the six months ended May 31, 2026, with $731,157 attributable to directors’ compensation, $311,652 attributable to legal and other professional fees, and $249,877 attributable to consulting. The increase is partially offset by changes such as remuneration of the Company’s CEO and CFO being reported as salaries and wages upon de-SPAC, with the replacement of previous consulting agreements with executive employment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the six months ended May 31, 2026, was $153,598, an increase of $104,655 compared to $48,943 for the six months ended May 31, 2025. This increase is primarily driven by two new leases for new offices in Vancouver commencing November 2025 and New York commencing January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Investor relations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 relations for the six months ended May 31, 2026, was $159,211, an increase of $159,211 compared to $Nil for the six months ended May 31, 2025. This increase is primarily driven by the Company’s engagement of an external investor relations firm in relation to becoming a public company.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Salaries and wages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wages for the six months ended May 31, 2026, was $3,353,846, an increase of $3,353,846 compared to $Nil for the six months ended May 31, 2025. This increase is mainly due to the hiring of a full-time Head of Licensing in November 2025, the Company entering into executive employment agreements with its CEO and CFO upon de-SPAC, and $3,100,910 in stock-based compensation in connection with stock options and RSUs granted during the six months ended May 31, 2026 to the CEO, CFO, and employees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Licensing fee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Licensing fee expense for the six months ended May 31, 2026, was $26,249, an increase of $26,249 compared to $Nil for the six months ended May 31, 2025. This increase is due to the Company’s entrance into a patent license agreement with UNM Rainforest Innovations in June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Travel and entertainment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Travel and entertainment expense for the six months ended May 31, 2026, was $287,971, an increase of $18,419 compared to $269,552 for the six months ended May 31, 2025. This increase is due to a slight increase in executive and consultant travel in the current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in fair value of warrant liability for the six months May 31, 2026, was a loss of $17,750,724, an increase of $17,750,724 compared to $Nil for the six months ended May 31, 2025. This warrant liability relates to PIPE warrants of the Company which are puttable under certain circumstances. The increase in liability balance during the six months ended May 31, 2026 is mainly due to changes to inputs into the Monte Carlo valuation of the warrant liability, including the increasing valuation of shares of the Company, and the removal of a discount for lack of marketability due to the Company’s current public company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Results of Operations – For the Three Months Ended May 31, 2026 and 2025 (unaudited):</w:t>
      </w:r>
    </w:p>
    <w:tbl>
      <w:tblPr>
        <w:tblW w:w="9489" w:type="dxa"/>
        <w:jc w:val="center"/>
        <w:tblInd w:w="0" w:type="dxa"/>
        <w:tblLayout w:type="fixed"/>
        <w:tblCellMar>
          <w:top w:w="0" w:type="dxa"/>
          <w:left w:w="0" w:type="dxa"/>
          <w:bottom w:w="0" w:type="dxa"/>
          <w:right w:w="0" w:type="dxa"/>
        </w:tblCellMar>
      </w:tblPr>
      <w:tblGrid>
        <w:gridCol w:w="3916"/>
        <w:gridCol w:w="346"/>
        <w:gridCol w:w="1156"/>
        <w:gridCol w:w="346"/>
        <w:gridCol w:w="1171"/>
        <w:gridCol w:w="346"/>
        <w:gridCol w:w="1156"/>
        <w:gridCol w:w="346"/>
        <w:gridCol w:w="70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86660" cy="175260"/>
                      <wp:effectExtent l="0" t="0" r="0" b="0"/>
                      <wp:wrapNone/>
                      <wp:docPr id="266" name="Frame26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34060" cy="175260"/>
                      <wp:effectExtent l="0" t="0" r="0" b="0"/>
                      <wp:wrapNone/>
                      <wp:docPr id="268" name="Frame26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43585" cy="175260"/>
                      <wp:effectExtent l="0" t="0" r="0" b="0"/>
                      <wp:wrapNone/>
                      <wp:docPr id="270" name="Frame26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34060" cy="175260"/>
                      <wp:effectExtent l="0" t="0" r="0" b="0"/>
                      <wp:wrapNone/>
                      <wp:docPr id="272" name="Frame27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48310" cy="175260"/>
                      <wp:effectExtent l="0" t="0" r="0" b="0"/>
                      <wp:wrapNone/>
                      <wp:docPr id="274" name="Frame2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0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 </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439,741</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770,950</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1,300,301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80,856</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22,483</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236,509</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65,803</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(7,307,441)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(1,020,946)</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(6,286,495)</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(25,061,947)</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(24,036,841)</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Preferred stock dividends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(25,810,550)</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(24,785,444)</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2,418</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May 31, 2026, we incurred a net loss of $25,061,947 compared to a net loss of $1,025,106 for the three months ended May 31, 2025. An analysis of the increase in net loss of $24,036,841 including the major components of our results for the periods, is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development expenses for the three months ended May 31, 2026, was $267,827, an increase of $267,827 compared to $Nil for the three months ended May 31, 2025. This increase is primarily driven by the Company’s engagement of external business development firms as part of its previous efforts to complete its go public transaction, and continued engagement with the capital market. Expenditure on business development is inclusive of stock-based compensation of $223,038 in connection with stock options and RSUs granted to business development consultants during the three months ended May 31, 2026. No such costs were incurred in the comparative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Exploration</w:t>
      </w:r>
      <w:r>
        <w:rPr>
          <w:rFonts w:ascii="Times New Roman;Times;serif" w:hAnsi="Times New Roman;Times;serif"/>
          <w:sz w:val="20"/>
        </w:rPr>
        <w:t xml:space="preserve"> </w:t>
      </w:r>
      <w:r>
        <w:rPr>
          <w:rFonts w:ascii="Times New Roman;Times;serif" w:hAnsi="Times New Roman;Times;serif"/>
          <w:b/>
          <w:i/>
          <w:sz w:val="20"/>
        </w:rPr>
        <w:t>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Exploration expenses for the three months ended May 31, 2026, was $496,419, an increase of $439,741 compared to $56,678 for the three months ended May 31, 2025. The increase is primarily driven by activities undertaken by the Company on mineral rights assessments and other related work in connection with the Aurora Uranium Project, in connection with its ongoing environmental baseline studies in preparation for the commencement of a new exploration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Office and administrative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Office and administrative expenses for the three months ended May 31, 2026, were $831,489, an increase of $770,950 compared to $60,539 for the three months ended May 31, 2025. This increase is primarily driven by expanded operations. This mainly includes an increase of $305,360 in marketing expenses incurred by the Company for various advertising and promotional activities in connection with the Company’s recent listing, an increase of $224,900 in insurance expenses, and an increase of $225,282 in public company costs incurred for Nasdaq listing and other public company filing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the three months ended May 31, 2026, were $2,010,841, an increase of $1,300,301 compared to $710,540 for the three months ended May 31, 2025. This increase is primarily driven by stock-based compensation of $1,292,686 in connection with stock options and RSUs granted during the three months ended May 31, 2026 to directors, and consultants of the Company during the three months ended May 31, 2026, with $731,157 attributable to directors’ compensation, $311,652 attributable to legal and other professional fees, and $249,877 attributable to consulting.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the three months ended May 31, 2026, was $80,856, an increase of $58,373 compared to $22,483 for the three months ended May 31, 2025. This increase is primarily driven by two new leases for new offices in Vancouver commencing November 2025 and New York commencing January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Investor relations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 relations for the three months ended May 31, 2026, was $69,390, an increase of $69,390 compared to $Nil for the three months ended May 31, 2025. This increase is primarily driven by the Company’s engagement of an external investor relations firm in relation to becoming a public company.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Salaries and wages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wages for the three months ended May 31, 2026, was $3,295,905, an increase of $3,295,905 compared to $Nil for the three months ended May 31, 2025. This increase is mainly due to the hiring of a full-time Head of Licensing in November 2025, the Company entering into executive employment agreements with its CEO and CFO upon de-SPAC, and $3,100,910 in stock-based compensation in connection with the stock options and RSUs granted during the three months ended May 31, 2026 to the CEO, CFO, and employees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Licensing fee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Licensing fee expense for the three months ended May 31, 2026, was $12,603, an increase of $12,603 compared to $Nil for the three months ended May 31, 2025. This increase is due to the Company’s entrance into a patent license agreement with UNM Rainforest Innovations in June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Travel and entertainment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Travel and entertainment expense for the three months ended May 31, 2026, was $236,509, an increase of $65,803 compared to $170,706 for the three months ended May 31, 2025. This increase is mainly driven by increased travel in the current period compared to the prior quarter.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in fair value of warrant liability for the three months May 31, 2026, was a loss of $17,750,724, an increase of $17,750,724 compared to $Nil for the three months ended May 31, 2025. This warrant liability relates to PIPE warrants of the Company which are puttable under certain circumstances. The increase in liability balance during the three months ended May 31, 2026 is mainly due to changes to inputs into the Monte Carlo valuation of the warrant liability, including the increasing valuation of shares of the Company, and the removal of a discount for lack of marketability due to the Company’s current public company status.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continually monitor and manage cash flow to assess the liquidity necessary to fund operations and capital projects. We manage our capital resources and adjust them to take into account changes in economic conditions and the risk characteristics of the underlying assets. To maintain or adjust our capital resources, we may, where necessary, control the amount of working capital, pursue financing or manage the timing of our capital expenditures. As of May 31, 2026, we had a working capital of $27,164,690 (current assets of $28,989,912, less current liabilities of $1,825,222). As of November 30, 2025, we had a working capital of $621,306 (current assets of $1,464,825, less current liabilities of $843,519).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our inception, we have incurred operating losses and have experienced negative cash flows from operations. While the Company had a positive working capital as at May 31, 2026, the Company expects to expend significant portion of its assets to fund ongoing operations and planned exploration activities, and is currently pre-revenue. Management assessed the Company currently has cash resources that could sustain operations for the next 21 months, as a result of recently completed financings.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we had $28,282,050 in cash, including restricted cash. We are actively managing current cash flows until such time that we are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chart below highlights our cash flows for the period indicated:</w:t>
      </w:r>
    </w:p>
    <w:tbl>
      <w:tblPr>
        <w:tblW w:w="8525" w:type="dxa"/>
        <w:jc w:val="center"/>
        <w:tblInd w:w="0" w:type="dxa"/>
        <w:tblLayout w:type="fixed"/>
        <w:tblCellMar>
          <w:top w:w="0" w:type="dxa"/>
          <w:left w:w="0" w:type="dxa"/>
          <w:bottom w:w="0" w:type="dxa"/>
          <w:right w:w="0" w:type="dxa"/>
        </w:tblCellMar>
      </w:tblPr>
      <w:tblGrid>
        <w:gridCol w:w="3946"/>
        <w:gridCol w:w="346"/>
        <w:gridCol w:w="1921"/>
        <w:gridCol w:w="346"/>
        <w:gridCol w:w="196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505710" cy="175260"/>
                      <wp:effectExtent l="0" t="0" r="0" b="0"/>
                      <wp:wrapNone/>
                      <wp:docPr id="275" name="Frame27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19835" cy="175260"/>
                      <wp:effectExtent l="0" t="0" r="0" b="0"/>
                      <wp:wrapNone/>
                      <wp:docPr id="277" name="Frame27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8410" cy="175260"/>
                      <wp:effectExtent l="0" t="0" r="0" b="0"/>
                      <wp:wrapNone/>
                      <wp:docPr id="279" name="Frame27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left"/>
              <w:rPr/>
            </w:pPr>
            <w:r>
              <w:rPr/>
              <w:t>  ​ ​ ​</w:t>
            </w:r>
          </w:p>
        </w:tc>
        <w:tc>
          <w:tcPr>
            <w:tcW w:w="19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3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19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center"/>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(4,711,877)</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(1,944,253)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63,215</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31,641,757</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7,438,301</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foreign currency transactions on cash</w:t>
            </w:r>
          </w:p>
        </w:tc>
        <w:tc>
          <w:tcPr>
            <w:tcW w:w="346" w:type="dxa"/>
            <w:tcBorders/>
            <w:shd w:fill="CCEEFF" w:val="clear"/>
            <w:vAlign w:val="center"/>
          </w:tcPr>
          <w:p>
            <w:pPr>
              <w:pStyle w:val="TableContents"/>
              <w:bidi w:val="0"/>
              <w:spacing w:before="0" w:after="0"/>
              <w:ind w:left="0" w:right="0" w:hanging="0"/>
              <w:jc w:val="left"/>
              <w:rPr/>
            </w:pPr>
            <w:r>
              <w:rPr/>
              <w:t> </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(12,973)</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26,980,122</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4,894,048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cash used in operating activities is primarily due to cash payments for operating expenses that we incur in the day-to-day operations of the business. During the six months ended May 31, 2026, net cash used in operating activities was $4,711,877. The loss attributable to common stockholders for the six months ended May 31, 2026 of $27,314,980 was increased by the changes in operating working capital of $570,210 and offset by $23,173,313 in non-cash items consisting mainly of non-cash change in fair value of warrant liability, stock-based compensation, and preferred stock dividend accrual.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May 31, 2025, was $1,944,253. Operating expenses resulted in a net loss of $1,692,101 for the period. Additionally, changes in working capital items increased cash usage by $270,026. The operating cash outflow was partially offset by $17,874 in non-cash adjustments for consulting fees settled by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net cash provided by investing activities totaled $63,215, primarily related to the $141,262 cash assumed by the acquisition of Oregon Energy. This was partially offset by net cash used for the purchase of property, plant and equipment, intangible assets, and investments in mineral rights, totaling $78,047.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six months ended May 31, 2025, was $600,000 and relates to $300,000 paid for the initial option payment for the Aurora Option Agreement and an additional $300,000 for the exercise of the Company’s right to the first six-month extension to the option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funded our business to date from the issuance of our common stock through private placements, and assumption of cash from SVII through the reverse acquisition transaction undertaken in our process of going public.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net cash provided by financing activities totaled $31,641,757, primarily related to the proceeds from PIPE financing through the issuance of cumulative convertible preferred shares of $29,700,000 and $1,939,457 in cash assumed upon the reverse recapitalization transaction as mentioned above. The Company also received $2,300 in cash proceeds upon exercise of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six months ended May 31, 2025, was $7,438,301 in proceeds from the issuance of common stock in private placements and Reg CF financings, net of issuance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party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Related parties may be individuals or corporate entities. A transaction is a related party transaction when there is a transfer of resources or obligations between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May 31, 2026, the Company incurred $135,030 (for the six months ended May 31, 2025 - $90,000) in fees to the CEO of the Company, and $25,000 of bonus to the CEO (for the six months ended May 31, 2025 - $Nil) payable upon completion of the de-SPAC transaction. As of May 31, 2026, $60,030 of CEO fees (November 30, 2025 - $15,000), and $12,886 in expense reimbursements (November 30, 2025 - $Nil) were included in due to related parties.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$78,009 (for the six months ended May 31, 2025 - $Nil) in fees to the Chief Financial Officer (the “CFO”) of the Company. As of May 31, 2026, $24,259 of CFO fees (November 30, 2025 - $10,750) and $1,947 in expense reimbursements (November 30, 2025 - $Nil)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$Nil (for the six months ended May 31, 2025 - $90,000) in fees with a company controlled by the former Chief Financial Officer (the “former CFO”) of the Company. As of May 31, 2026, $Nil of former CFO fees (November 30, 2025 - $15,000) and $Nil in expense reimbursements (November 30, 2025 - $Nil)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$72,500 (for the six months ended May 31, 2025 - $90,000) of consulting fees with a company controlled by a director of the Company. As of May 31, 2026, $15,000 (November 30, 2025 - $22,500) of consulting fees and $6,008 (November 30, 2025 - $7,971) in expense reimbursements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May 31, 2026, the Company incurred $135,000 (for the six months ended May 31, 2025 - $231,250) of consulting fees with a company (for the six months ended May 31, 2025 - two companies) controlled by a stockholder of the Company. As of May 31, 2026, $Nil (November 30, 2025 - $67,875) of consulting fees and $Nil (November 30, 2025 - $128,064) in expense reimbursements were included in due to related parties.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there was one stockholder who held over 5% of the Company’s common stock during the six months ended May 31, 2025 that provided consulting services to the Company. The stockholder no longer holds over 5% of the Company’s common stock during the six months ended May 31, 2026. During the six months ended May 31, 2026, the Company incurred $Nil (for the six months ended May 31, 2025 - $90,250) of consulting fees with this stockholder. As of May 31, 2026, $Nil (November 30, 2025 - $12,865) was included in due to related parties for amounts relating to expense reimbursements due to a stockholder.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granted the following stock options and RSUs to related parties: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 stock options with grant date fair value of $4,917,072 and 250,000 RSUs with grant date fair value of $2,380,000 to the CEO;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 stock options with grant date fair value of $89,084 and 42,000 RSUs with grant date fair value of $384,300 to the CFO;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40,625 stock options with grant date fair value of $250,536 and 121,875 RSUs with grant date fair value of $1,115,156 to four directors.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$3,069,747 (for the six months ended May 31, 2025 - $Nil) of stock based compensation to the CEO and CFO, recognized in salaries and wages; and $731,157 (for the six months ended May 31, 2025 - $Nil) of stock based compensation to the Company’s directors, recognized in professional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this condition was satisfied, and accordingly, the $25,000 payment was paid during the six months ended May 31, 2026. Following the de-SPAC transaction, the CEO is expected to enter into an executive employment agreement with the Company, which was approved by the board on June 5, 2026. Pursuant to the new executive employment agreement, the CEO will be entitled to receive (i) $50,000 of cash bonus payable upon the commencement of the Company’s technical work program at the AUP; and, at the board’s discretion, (ii) 183,333 RSUs pursuant to the EIP; and, (iii) additional equity awards consisting of a mix of stock options and RSUs totaling 1,000,000 shares, with allocations to be determined by the Company’s board of directors. The additional equity awards totaling 1,000,000 shares, consisting of 750,000 stock options and 250,000 RSUs, were granted to the CEO on April 15,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 2024, the Company began leasing office space on a month-to-month basis from an unrelated third party under an operating lease agreement. The monthly payments approximate $7,500 (CAD$10,500) and ancillary expenses. This operating lease agreement has been terminated as of March 31, 2026. During the six months ended May 31, 2026, rent expense under this agreement totaled $30,274 (for the six months ended May 31, 2025 - $48,943).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2025, the Company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1-to-84.18, subject to adjustments. In connection with the PIPE Issuance, the Company also issued to the investor 2,500,000 warrants with an exercise price of $12.00 per share. As of May 31, 2026, the Company accrued dividends of $781,151.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15, 2025, the Company entered into a consulting agreement with the CFO of the Company. Pursuant to the agreement, the Company will use commercially reasonable efforts to issue 90,000 stock options to the CFO upon completion of listing on Nasdaq. As of May 31, 2026, the Company issued 14,000 stock options and 42,000 RSUs to the CFO. A commitment to issue 34,000 stock options remains yet to be met. Following the de-SPAC transaction, the CFO is expected to enter into an executive employment agreement with the Company, which was approved by the board on June 5, 2026. Pursuant to the new executive employment agreement, the CFO may receive an additional 10,000 RSUs pursuant to the EIP, subject to the board’s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16, 2025, the Company entered into an operating lease agreement from an unrelated third party for the office space in New York for 62 months, which commenced on January 1, 2026. The monthly payments approximate $14,457 and ancillary expenses. During the period ended May 31, 2026, rent expense under this agreement totaled $71,118 (May 31, 2025 - $Nil).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 2025, the Company entered into an operating lease agreement from an unrelated third party for the office space in Vancouver for 2 years. The monthly payments approximate $4,211 (CAD $5,787) and ancillary expenses. During the period ended May 31, 2026, rent expense under this agreement totaled $22,463 (May 31, 2025 - $Nil).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the Company granted the right to certain shareholders of the Company to receive Earnout Shares. During the Earnout Period until February 24, 2031, if the Earnout Target is met, or if a change of control transaction occurs during the Earnout Period and the Earnout Target was not already met, the Company will grant 1,500,000 Earnout Shares to the eligible shareholders. No Earnout Share has been issued as of May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2026, the Company entered into a drilling services agreement with Harris Exploration Drilling &amp; Associates Inc. to complete a 27,000 ft drill program at the AUP to address data gaps and advance the AUP towards a pre-feasibility study. The drill program is expected to commence in July 2026, subject to requisite permit approvals from BLM and DOGAMI. The agreement may be terminated for convenience at any time by the Company with 30 days prior written notice at no penalty, with only payment required for work actually performed up to the effective date of termination and for reasonable, documented demobilization costs directly resulting from such termination.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28, 2026, the Company entered into a services agreement with Tensor Medium Corporation, an advanced algorithm and artificial intelligence company, to support reactor modeling, simulation and optimization efforts connected to the Company’s SMR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program, including reactor engineering support, materials optimization, quantum development, and support for future licensing readiness in connection with the Company’s SMR development initiatives. The contract is for a term of 12 months and may be terminated for convenience at any time by either party with 30 days prior written notice at no penalty.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Capital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Capital is comprised of our stockholders’ equity (deficit) and any debt that we may issue. Our objectives when managing capital are to maintain financial strength and to protect our ability to execute our exploration and operational plans towards the development of the AUP and capabilities for the SMR business, to maintain creditworthiness and to maximize returns for our stockholders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to our approach to capital management during the period. We are not subject to externally imposed capital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unaudited condensed consolidated interim financial statements are prepared in accordance with generally accepted accounting principles in the U.S. The preparation of our unaudited condensed consolidated interim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summary of significant accounting policies is described in more detail in the notes to our unaudited condensed consolidated interim financial statements. Please refer to Note 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material off-balance sheet arrangements such as guarantee contracts, contingent interests in assets transferred to unconsolidated entities, derivative financial obligations, or with respect to any obligations under a variable interest equity arrangement.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Proposed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proposed transactions that have not been disclosed herein.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all events and transactions occurring subsequent to May 31,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5, 2026, the board of directors of the Company approved and ratified the written CEO and CFO employment agreements, effective upon the consummation of the de-SPAC, with annualized base salaries at $350,000 and $180,000, respectively, and eligibility to receive certain incentive bonuses and to participate in the EIP of the Company, as disclosed in Note 16 to the unaudited condensed consolidated interim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Jumpstart Our Business Startups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However, we may choose to early adopt any new or revised accounting standards whenever such early adoption is permitted for private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cease to be an emerging growth company on the date that is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3. Quantitative And Qualitative Disclosures About Market Risk</w:t>
      </w:r>
      <w:bookmarkStart w:id="13" w:name="Item3QuantitativeAndQualitativeDisclosur"/>
      <w:bookmarkEnd w:id="13"/>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 However, we have elected to provide the following information related to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have overall responsibility for the establishment and oversight of our risk management policies on an annual basis. Management identifies and evaluates our financial risks and is charged with the responsibility of establishing controls and procedures to ensure financial risks are mitigated in accordance with the approved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financial instruments consist of cash, restricted cash, due to related parties, accounts payable and accrued liabilities. The carrying value of the Company’s cash, restricted cash, due to related parties, and accounts payable and accrued liabilities approximate their fair value due to their short terms to maturity.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risk exposures and the impact on our financial instruments are summarized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 risk is the risk of an unexpected loss if a customer or third party to a financial instrument fails to meet its contractual obligations. Our credit risk is primarily attributable to our liquid financial assets including cash. Our financial assets are cash and restricted cash. Our maximum exposure to credit risk, as of period end, is the carrying value of our financial assets, being $28,282,050 (November 30, 2025 - $1,301,928) as of May 31, 2026. We hold cash with major financial institutions, therefore minimizing our credit risk.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Liquidity risk is the risk that we will not be able to meet financial obligations as they fall due. We manage liquidity by maintaining adequate cash balances and by raising equity and debt financings. We have no assurance that such financings will be available on favorable terms in the future. In general, we attempt to avoid exposure to liquidity risk by obtaining corporate financing through the issuance of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we had cash of $28,091,090 (November 30, 2025 - $1,301,928) to settle current liabilities of $1,825,222 (November 30, 2025 - $843,519) which fall due for payment within 12 months of the date of the unaudited condensed consolidated interim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 risk is the risk that changes in market prices, such as foreign exchange rates, interest rates and equity prices will affect our income or value of holdings or financial instruments. As of May 31, 2026, our exposure to market risk was insignificant as we did not hold material amounts of financial instruments in foreign currencies, nor did we hold any debt that was subject to variable interest rates.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believe that inflation had a significant impact on our results of operations for any period presented in our unaudited condensed consolidated interim financial statements. Nonetheless, if our costs were to become subject to significant inflationary pressures, we may not be able to fully offset such higher costs, and our inability or failure to do so could harm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4. Controls And Procedures</w:t>
      </w:r>
      <w:bookmarkStart w:id="14" w:name="Item4ControlsAndProcedures_757575"/>
      <w:bookmarkEnd w:id="14"/>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an evaluation as of May 31, 2026, our management, including the Chief Executive Officer and Chief Financial Officer, has concluded that our disclosure controls and procedures (as defined in Rule 13a-15(e) under the Exchange Act) were not effective to provide reasonable assurance because of a material weakness in our internal control over financial reporting as described below. There have been no changes during the fiscal quarter ended May 31,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Material Weaknesses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our annual financial statements will not be prevented or detected in a timely manner.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design or maintain an effective control environment commensurate with financial reporting requirements. Specifically, we did not consistently have documented evidence of review procedures and, due to resource limitations, did not always maintain segregation of duties between preparing and reviewing analyses, and reconciliations.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material weakness did not result in a material misstatement of our unaudited condensed consolidated interim financial statements, however, it could result in a misstatement of our account balances or disclosures that would result in a material misstatement that would not be prevented or detected.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Remediation Efforts to Address the Identified Material Weaknesses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taken, and continue to take, steps to remediate the material weakness and strengthen our internal control over financial reporting through the continued hiring of additional appropriately skilled finance and accounting personnel, in order to have sufficient personnel and expertise to implement appropriate segregation of duties, formalize internal controls and enable sufficient technical review for complex accounting transactions. We are in the process of strengthening review-related controls to enhance evidence of review and reduce threat of self-review, where practicable. We currently retain a third-party advisor with qualified personnel to support the preparation of quarterly financial reporting and disclosures and on technical accounting matters. We continue to evaluate options, given the resource limitations described above, regarding the hiring of qualified personnel and additional policies to be implemented in order to improve segregation of duties.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not be able to fully remediate these control deficiencies until these steps have been completed and have been operating effectively for a sufficient period of time. We expect to make continued progress on these remediation efforts throughout fiscal 2026, with the pace of the segregation-of-duties component dependent on resourcing as noted above. Management will continue to review and make necessary changes to the overall design of our internal control environment, as well as policies and procedures to improve the overall effectiveness of internal control over financial reporting. The material weakness will not be considered remediated, however, until the applicable controls operate for a sufficient period of time and management has concluded that these controls are operating effectively.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described above under “Remediation Efforts to Address the Identified Material Weaknesses”, there was no change in our internal control over financial reporting during the fiscal quarter ended May 31, 2026 covered by this Quarterly Report that has materially affected, or is reasonably likely to materially affect, our internal control over financial reporting (as defined in Rules 13a-15(f) and 15d-15(f) under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bookmarkStart w:id="15" w:name="PARTIIOTHERINFORMATION_259588"/>
      <w:bookmarkEnd w:id="15"/>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1. Legal Proceedings</w:t>
      </w:r>
      <w:bookmarkStart w:id="16" w:name="Item1LegalProceedings_789591"/>
      <w:bookmarkEnd w:id="16"/>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1A. Risk Factors</w:t>
      </w:r>
      <w:bookmarkStart w:id="17" w:name="Item1ARiskFactors_186367"/>
      <w:bookmarkEnd w:id="17"/>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 You should carefully consider the risks discussed in the section entitled “Risk Factors” in the Registration Statement, which could materially affect our business, financial condition, or future results. The risks described in the Registration Statement are not the only risks we face. Additional risks and uncertainties not currently known to us or that we do not currently deem material, may also materially affect our business, results of operations, cash flows and financial position.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2. Unregistered Sales of Equity Securities and Use of Proceeds</w:t>
      </w:r>
      <w:bookmarkStart w:id="18" w:name="Item2UnregisteredSalesofEquitySecurities"/>
      <w:bookmarkEnd w:id="18"/>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(a)There were no sales of unregistered equity securities during the three months ended May 31, 2026 that were not previously reported on a Current Report on Form 8-K.</w:t>
      </w:r>
    </w:p>
    <w:tbl>
      <w:tblPr>
        <w:tblW w:w="1510" w:type="dxa"/>
        <w:jc w:val="left"/>
        <w:tblInd w:w="0" w:type="dxa"/>
        <w:tblLayout w:type="fixed"/>
        <w:tblCellMar>
          <w:top w:w="0" w:type="dxa"/>
          <w:left w:w="0" w:type="dxa"/>
          <w:bottom w:w="0" w:type="dxa"/>
          <w:right w:w="0" w:type="dxa"/>
        </w:tblCellMar>
      </w:tblPr>
      <w:tblGrid>
        <w:gridCol w:w="245"/>
        <w:gridCol w:w="126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3. Defaults Upon Senior Securities</w:t>
      </w:r>
      <w:bookmarkStart w:id="19" w:name="Item3DefaultsUponSeniorSecurities_910652"/>
      <w:bookmarkEnd w:id="19"/>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4. Mine Safety Disclosures</w:t>
      </w:r>
      <w:bookmarkStart w:id="20" w:name="Item4MineSafetyDisclosures_574558"/>
      <w:bookmarkEnd w:id="20"/>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5. Other Information</w:t>
      </w:r>
      <w:bookmarkStart w:id="21" w:name="Item5OtherInformation_695526"/>
      <w:bookmarkEnd w:id="21"/>
    </w:p>
    <w:tbl>
      <w:tblPr>
        <w:tblW w:w="730" w:type="dxa"/>
        <w:jc w:val="left"/>
        <w:tblInd w:w="0" w:type="dxa"/>
        <w:tblLayout w:type="fixed"/>
        <w:tblCellMar>
          <w:top w:w="0" w:type="dxa"/>
          <w:left w:w="0" w:type="dxa"/>
          <w:bottom w:w="0" w:type="dxa"/>
          <w:right w:w="0" w:type="dxa"/>
        </w:tblCellMar>
      </w:tblPr>
      <w:tblGrid>
        <w:gridCol w:w="230"/>
        <w:gridCol w:w="50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745" w:type="dxa"/>
        <w:jc w:val="left"/>
        <w:tblInd w:w="0" w:type="dxa"/>
        <w:tblLayout w:type="fixed"/>
        <w:tblCellMar>
          <w:top w:w="0" w:type="dxa"/>
          <w:left w:w="0" w:type="dxa"/>
          <w:bottom w:w="0" w:type="dxa"/>
          <w:right w:w="0" w:type="dxa"/>
        </w:tblCellMar>
      </w:tblPr>
      <w:tblGrid>
        <w:gridCol w:w="245"/>
        <w:gridCol w:w="50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fiscal quarter ended May 31,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6. Exhibits</w:t>
      </w:r>
      <w:bookmarkStart w:id="22" w:name="Item6Exhibits_810647"/>
      <w:bookmarkEnd w:id="22"/>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w:t>
      </w:r>
    </w:p>
    <w:tbl>
      <w:tblPr>
        <w:tblW w:w="10205" w:type="dxa"/>
        <w:jc w:val="center"/>
        <w:tblInd w:w="0" w:type="dxa"/>
        <w:tblLayout w:type="fixed"/>
        <w:tblCellMar>
          <w:top w:w="0" w:type="dxa"/>
          <w:left w:w="0" w:type="dxa"/>
          <w:bottom w:w="28" w:type="dxa"/>
          <w:right w:w="0" w:type="dxa"/>
        </w:tblCellMar>
      </w:tblPr>
      <w:tblGrid>
        <w:gridCol w:w="731"/>
        <w:gridCol w:w="346"/>
        <w:gridCol w:w="9128"/>
      </w:tblGrid>
      <w:tr>
        <w:trPr/>
        <w:tc>
          <w:tcPr>
            <w:tcW w:w="73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2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pP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"https://www.sec.gov/Archives/edgar/data/2008507/000110465926008842/tm2526882-15_424b3.htm" \l "fANNA1"</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Amended and Restated Agreement and Plan of Merger, dated as of September 29, 2025, among Spring Valley Acquisition Corp. II, Eagle Nuclear Energy Corp., Spring Valley Merger Sub II, Inc., Spring Valley Merger Sub III, Inc. and Eagle Energy Metals Corp. (included as Annex A to the definitive proxy statement/prospectus filed by Eagle Nuclear Energy Corp. with the SEC on February 2, 2026).</w:t>
            </w:r>
            <w:r>
              <w:rPr>
                <w:rStyle w:val="InternetLink"/>
                <w:smallCaps w:val="false"/>
                <w:caps w:val="false"/>
                <w:sz w:val="18"/>
                <w:i w:val="false"/>
                <w:b w:val="false"/>
                <w:rFonts w:ascii="Times New Roman;Times;serif" w:hAnsi="Times New Roman;Times;serif"/>
              </w:rPr>
              <w:fldChar w:fldCharType="end"/>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8"/>
                </w:rPr>
                <w:t>Amended and Restated Articles of Incorporation of Eagle Nuclear Energy Corp. (incorporated by reference to Exhibit 3.1 to the Current Report on Form 8-K filed by Eagle Nuclear Energy Corp. with the SEC on March 2, 2026).</w:t>
              </w:r>
            </w:hyperlink>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bookmarkStart w:id="23" w:name="_Hlk226712993"/>
            <w:bookmarkStart w:id="24" w:name="_Hlk226713012"/>
            <w:bookmarkEnd w:id="23"/>
            <w:bookmarkEnd w:id="24"/>
            <w:r>
              <w:rPr>
                <w:rFonts w:ascii="Times New Roman;Times;serif" w:hAnsi="Times New Roman;Times;serif"/>
                <w:sz w:val="18"/>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Amended and Restated By-Laws of Eagle Nuclear Energy Corp. (incorporated by reference to Exhibit 3.2 to the Current Report on Form 8-K filed by Eagle Nuclear Energy Corp. with the SEC on March 2, 2026).</w:t>
              </w:r>
            </w:hyperlink>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Amended and Restated Certificate of Designation of Series A Cumulative Convertible Preferred Stock of Eagle Nuclear Energy Corp. (incorporated by reference to Exhibit 3.3 to the Current Report on Form 8-K filed by Eagle Nuclear Energy Corp. with the SEC on March 2, 2026).</w:t>
              </w:r>
            </w:hyperlink>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Certification of Principal Executive Officer Pursuant to Securities Exchange Act Rules 13a-14(a) and 15(d)-14(a), as adopted Pursuant to Section 302 of the Sarbanes-Oxley Act of 2002</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Certification of Principal Financial Officer Pursuant to Securities Exchange Act Rules 13a-14(a) and 15(d)-14(a), as adopted Pursuant to Section 302 of the Sarbanes-Oxley Act of 2002</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Certification of Principal Executive Officer Pursuant to 18 U.S.C. Section 1350, as adopted Pursuant to Section 906 of the Sarbanes-Oxley Act of 2002</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Certification of Principal Financial Officer Pursuant to 18 U.S.C. Section 1350, as adopted Pursuant to Section 906 of the Sarbanes-Oxley Act of 2002</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Instance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Schema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Calculation Linkbase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Definitions Linkbase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Label Linkbase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Presentation Linkbase Document</w:t>
            </w:r>
          </w:p>
        </w:tc>
      </w:tr>
      <w:tr>
        <w:trPr/>
        <w:tc>
          <w:tcPr>
            <w:tcW w:w="7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2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 attachments)</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Notes:</w:t>
      </w:r>
    </w:p>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w:t>
            </w:r>
          </w:p>
        </w:tc>
        <w:tc>
          <w:tcPr>
            <w:tcW w:w="191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Filed or furnished herewith</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both"/>
              <w:rPr/>
            </w:pPr>
            <w:r>
              <w:rPr/>
              <w:t>†</w:t>
            </w:r>
          </w:p>
        </w:tc>
        <w:tc>
          <w:tcPr>
            <w:tcW w:w="10065"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Certain of the exhibits and schedules to this Exhibit have been omitted in accordance with Regulation S-K Item 601(a)(5). The registrant agrees to furnish a copy of all omitted exhibits and schedules to the SEC upon its request.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5" w:name="SIGNATURES_541944"/>
      <w:bookmarkEnd w:id="25"/>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643" w:type="dxa"/>
        <w:jc w:val="left"/>
        <w:tblInd w:w="0" w:type="dxa"/>
        <w:tblLayout w:type="fixed"/>
        <w:tblCellMar>
          <w:top w:w="0" w:type="dxa"/>
          <w:left w:w="0" w:type="dxa"/>
          <w:bottom w:w="0" w:type="dxa"/>
          <w:right w:w="0" w:type="dxa"/>
        </w:tblCellMar>
      </w:tblPr>
      <w:tblGrid>
        <w:gridCol w:w="1711"/>
        <w:gridCol w:w="676"/>
        <w:gridCol w:w="3256"/>
      </w:tblGrid>
      <w:tr>
        <w:trPr/>
        <w:tc>
          <w:tcPr>
            <w:tcW w:w="1711" w:type="dxa"/>
            <w:tcBorders/>
            <w:vAlign w:val="center"/>
          </w:tcPr>
          <w:p>
            <w:pPr>
              <w:pStyle w:val="TableContents"/>
              <w:bidi w:val="0"/>
              <w:spacing w:before="0" w:after="0"/>
              <w:ind w:left="0" w:right="0" w:hanging="0"/>
              <w:jc w:val="left"/>
              <w:rPr/>
            </w:pPr>
            <w:r>
              <w:rPr/>
              <w:t> </w:t>
            </w:r>
          </w:p>
        </w:tc>
        <w:tc>
          <w:tcPr>
            <w:tcW w:w="3932" w:type="dxa"/>
            <w:gridSpan w:val="2"/>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EAGLE NUCLEAR ENERGY CORP.</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Manavdeep Mukhija</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Manavdeep Mukhija</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40"/>
        <w:ind w:left="0" w:right="0" w:hanging="0"/>
        <w:jc w:val="both"/>
        <w:rPr/>
      </w:pPr>
      <w:r>
        <w:rPr/>
        <w:t>​</w:t>
      </w:r>
    </w:p>
    <w:tbl>
      <w:tblPr>
        <w:tblW w:w="6213" w:type="dxa"/>
        <w:jc w:val="left"/>
        <w:tblInd w:w="0" w:type="dxa"/>
        <w:tblLayout w:type="fixed"/>
        <w:tblCellMar>
          <w:top w:w="0" w:type="dxa"/>
          <w:left w:w="0" w:type="dxa"/>
          <w:bottom w:w="0" w:type="dxa"/>
          <w:right w:w="0" w:type="dxa"/>
        </w:tblCellMar>
      </w:tblPr>
      <w:tblGrid>
        <w:gridCol w:w="1711"/>
        <w:gridCol w:w="676"/>
        <w:gridCol w:w="382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Ajaypreet Toor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Ajaypreet Toor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Financing and Accounting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89283/000110465926022330/tm267670d1_ex3-1.htm" TargetMode="External"/><Relationship Id="rId4" Type="http://schemas.openxmlformats.org/officeDocument/2006/relationships/hyperlink" Target="https://www.sec.gov/Archives/edgar/data/2089283/000110465926022330/tm267670d1_ex3-2.htm" TargetMode="External"/><Relationship Id="rId5" Type="http://schemas.openxmlformats.org/officeDocument/2006/relationships/hyperlink" Target="https://www.sec.gov/Archives/edgar/data/2089283/000110465926022330/tm267670d1_ex3-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27254</Words>
  <Characters>148974</Characters>
  <CharactersWithSpaces>177449</CharactersWithSpaces>
  <Paragraphs>5087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