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Eagle Nuclear Energy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Alyeska Investment Group,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2,928,352.00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2,928,352.00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2,928,352.00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Alyeska Fund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2,928,352.00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2,928,352.00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2,928,352.00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Anand Parekh</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2,928,352.00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2,928,352.00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2,928,352.00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990"/>
        <w:gridCol w:w="9060"/>
        <w:gridCol w:w="155"/>
      </w:tblGrid>
      <w:tr>
        <w:trPr/>
        <w:tc>
          <w:tcPr>
            <w:tcW w:w="990" w:type="dxa"/>
            <w:tcBorders/>
            <w:vAlign w:val="center"/>
          </w:tcPr>
          <w:p>
            <w:pPr>
              <w:pStyle w:val="TableContents"/>
              <w:bidi w:val="0"/>
              <w:spacing w:before="0" w:after="283"/>
              <w:jc w:val="left"/>
              <w:rPr/>
            </w:pPr>
            <w:r>
              <w:rPr/>
              <w:t>Item 1.</w:t>
            </w:r>
          </w:p>
        </w:tc>
        <w:tc>
          <w:tcPr>
            <w:tcW w:w="906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(a)</w:t>
            </w:r>
          </w:p>
        </w:tc>
        <w:tc>
          <w:tcPr>
            <w:tcW w:w="9060" w:type="dxa"/>
            <w:tcBorders/>
            <w:vAlign w:val="center"/>
          </w:tcPr>
          <w:p>
            <w:pPr>
              <w:pStyle w:val="TableContents"/>
              <w:bidi w:val="0"/>
              <w:jc w:val="left"/>
              <w:rPr/>
            </w:pPr>
            <w:r>
              <w:rPr/>
              <w:t xml:space="preserve">Name of issuer: </w:t>
            </w:r>
          </w:p>
          <w:p>
            <w:pPr>
              <w:pStyle w:val="TableContents"/>
              <w:bidi w:val="0"/>
              <w:spacing w:before="0" w:after="0"/>
              <w:jc w:val="left"/>
              <w:rPr/>
            </w:pPr>
            <w:r>
              <w:rPr/>
              <w:t>Eagle Nuclear Energy Corp.</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(b)</w:t>
            </w:r>
          </w:p>
        </w:tc>
        <w:tc>
          <w:tcPr>
            <w:tcW w:w="906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2100 McKinney Ave, Suite 1675, Dallas, TX 75201</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2.</w:t>
            </w:r>
          </w:p>
        </w:tc>
        <w:tc>
          <w:tcPr>
            <w:tcW w:w="906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(a)</w:t>
            </w:r>
          </w:p>
        </w:tc>
        <w:tc>
          <w:tcPr>
            <w:tcW w:w="9060" w:type="dxa"/>
            <w:tcBorders/>
            <w:vAlign w:val="center"/>
          </w:tcPr>
          <w:p>
            <w:pPr>
              <w:pStyle w:val="TableContents"/>
              <w:bidi w:val="0"/>
              <w:jc w:val="left"/>
              <w:rPr/>
            </w:pPr>
            <w:r>
              <w:rPr/>
              <w:t xml:space="preserve">Name of person filing: </w:t>
            </w:r>
          </w:p>
          <w:p>
            <w:pPr>
              <w:pStyle w:val="TableContents"/>
              <w:bidi w:val="0"/>
              <w:spacing w:before="0" w:after="0"/>
              <w:jc w:val="left"/>
              <w:rPr/>
            </w:pPr>
            <w:r>
              <w:rPr/>
              <w:t>(i) Alyeska Investment Group, L.P. (ii) Alyeska Fund GP, LLC (iii) Anand Parekh</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(b)</w:t>
            </w:r>
          </w:p>
        </w:tc>
        <w:tc>
          <w:tcPr>
            <w:tcW w:w="906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(i) 77 West Wacker Drive, 7th Floor, Chicago, IL 60601 (ii) 77 West Wacker Drive, 7th Floor, Chicago, IL 60601 (iii) 77 West Wacker Drive, 7th Floor, Chicago, IL 60601</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(c)</w:t>
            </w:r>
          </w:p>
        </w:tc>
        <w:tc>
          <w:tcPr>
            <w:tcW w:w="9060" w:type="dxa"/>
            <w:tcBorders/>
            <w:vAlign w:val="center"/>
          </w:tcPr>
          <w:p>
            <w:pPr>
              <w:pStyle w:val="TableContents"/>
              <w:bidi w:val="0"/>
              <w:jc w:val="left"/>
              <w:rPr/>
            </w:pPr>
            <w:r>
              <w:rPr/>
              <w:t xml:space="preserve">Citizenship: </w:t>
            </w:r>
          </w:p>
          <w:p>
            <w:pPr>
              <w:pStyle w:val="TableContents"/>
              <w:bidi w:val="0"/>
              <w:spacing w:before="0" w:after="0"/>
              <w:jc w:val="left"/>
              <w:rPr/>
            </w:pPr>
            <w:r>
              <w:rPr/>
              <w:t>(i) Alyeska Investment Group, L.P. - Delaware (ii) Alyeska Fund GP, LLC - Delaware (iii) Anand Parekh -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(d)</w:t>
            </w:r>
          </w:p>
        </w:tc>
        <w:tc>
          <w:tcPr>
            <w:tcW w:w="906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(e)</w:t>
            </w:r>
          </w:p>
        </w:tc>
        <w:tc>
          <w:tcPr>
            <w:tcW w:w="906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3.</w:t>
            </w:r>
          </w:p>
        </w:tc>
        <w:tc>
          <w:tcPr>
            <w:tcW w:w="906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(a)</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(b)</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(c)</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(d)</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(e)</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(f)</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(g)</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(h)</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(j)</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(k)</w:t>
            </w:r>
          </w:p>
        </w:tc>
        <w:tc>
          <w:tcPr>
            <w:tcW w:w="9060"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215" w:type="dxa"/>
            <w:gridSpan w:val="2"/>
            <w:tcBorders/>
            <w:vAlign w:val="center"/>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4.</w:t>
            </w:r>
          </w:p>
        </w:tc>
        <w:tc>
          <w:tcPr>
            <w:tcW w:w="906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(a)</w:t>
            </w:r>
          </w:p>
        </w:tc>
        <w:tc>
          <w:tcPr>
            <w:tcW w:w="906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2,928,352</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(b)</w:t>
            </w:r>
          </w:p>
        </w:tc>
        <w:tc>
          <w:tcPr>
            <w:tcW w:w="906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9.90%  %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(c)</w:t>
            </w:r>
          </w:p>
        </w:tc>
        <w:tc>
          <w:tcPr>
            <w:tcW w:w="906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2,928,352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2,928,352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5.</w:t>
            </w:r>
          </w:p>
        </w:tc>
        <w:tc>
          <w:tcPr>
            <w:tcW w:w="906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6.</w:t>
            </w:r>
          </w:p>
        </w:tc>
        <w:tc>
          <w:tcPr>
            <w:tcW w:w="906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7.</w:t>
            </w:r>
          </w:p>
        </w:tc>
        <w:tc>
          <w:tcPr>
            <w:tcW w:w="906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8.</w:t>
            </w:r>
          </w:p>
        </w:tc>
        <w:tc>
          <w:tcPr>
            <w:tcW w:w="906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Item 9.</w:t>
            </w:r>
          </w:p>
        </w:tc>
        <w:tc>
          <w:tcPr>
            <w:tcW w:w="906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90"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722" w:type="dxa"/>
        <w:jc w:val="left"/>
        <w:tblInd w:w="0" w:type="dxa"/>
        <w:tblLayout w:type="fixed"/>
        <w:tblCellMar>
          <w:top w:w="28" w:type="dxa"/>
          <w:left w:w="28" w:type="dxa"/>
          <w:bottom w:w="28" w:type="dxa"/>
          <w:right w:w="28" w:type="dxa"/>
        </w:tblCellMar>
      </w:tblPr>
      <w:tblGrid>
        <w:gridCol w:w="3361"/>
        <w:gridCol w:w="3361"/>
      </w:tblGrid>
      <w:tr>
        <w:trPr/>
        <w:tc>
          <w:tcPr>
            <w:tcW w:w="3361" w:type="dxa"/>
            <w:tcBorders/>
            <w:vAlign w:val="center"/>
          </w:tcPr>
          <w:p>
            <w:pPr>
              <w:pStyle w:val="TableContents"/>
              <w:bidi w:val="0"/>
              <w:spacing w:before="0" w:after="0"/>
              <w:jc w:val="left"/>
              <w:rPr/>
            </w:pPr>
            <w:r>
              <w:rPr/>
              <w:t> </w:t>
            </w:r>
          </w:p>
          <w:tbl>
            <w:tblPr>
              <w:tblW w:w="3241" w:type="dxa"/>
              <w:jc w:val="left"/>
              <w:tblInd w:w="0" w:type="dxa"/>
              <w:tblLayout w:type="fixed"/>
              <w:tblCellMar>
                <w:top w:w="28" w:type="dxa"/>
                <w:left w:w="28" w:type="dxa"/>
                <w:bottom w:w="28" w:type="dxa"/>
                <w:right w:w="28" w:type="dxa"/>
              </w:tblCellMar>
            </w:tblPr>
            <w:tblGrid>
              <w:gridCol w:w="3241"/>
            </w:tblGrid>
            <w:tr>
              <w:trPr/>
              <w:tc>
                <w:tcPr>
                  <w:tcW w:w="3241" w:type="dxa"/>
                  <w:tcBorders/>
                  <w:vAlign w:val="center"/>
                </w:tcPr>
                <w:p>
                  <w:pPr>
                    <w:pStyle w:val="TableContents"/>
                    <w:bidi w:val="0"/>
                    <w:spacing w:before="0" w:after="0"/>
                    <w:jc w:val="left"/>
                    <w:rPr/>
                  </w:pPr>
                  <w:r>
                    <w:rPr/>
                    <w:t>Alyeska Investment Group, L.P.</w:t>
                  </w:r>
                </w:p>
              </w:tc>
            </w:tr>
          </w:tbl>
          <w:p>
            <w:pPr>
              <w:pStyle w:val="TableContents"/>
              <w:bidi w:val="0"/>
              <w:spacing w:before="0" w:after="283"/>
              <w:jc w:val="left"/>
              <w:rPr/>
            </w:pPr>
            <w:r>
              <w:rPr/>
            </w:r>
          </w:p>
        </w:tc>
        <w:tc>
          <w:tcPr>
            <w:tcW w:w="336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Jason Bragg</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Bragg | Chief Financial Officer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tbl>
      <w:tblPr>
        <w:tblW w:w="5124" w:type="dxa"/>
        <w:jc w:val="left"/>
        <w:tblInd w:w="0" w:type="dxa"/>
        <w:tblLayout w:type="fixed"/>
        <w:tblCellMar>
          <w:top w:w="28" w:type="dxa"/>
          <w:left w:w="28" w:type="dxa"/>
          <w:bottom w:w="28" w:type="dxa"/>
          <w:right w:w="28" w:type="dxa"/>
        </w:tblCellMar>
      </w:tblPr>
      <w:tblGrid>
        <w:gridCol w:w="2562"/>
        <w:gridCol w:w="2562"/>
      </w:tblGrid>
      <w:tr>
        <w:trPr/>
        <w:tc>
          <w:tcPr>
            <w:tcW w:w="2562" w:type="dxa"/>
            <w:tcBorders/>
            <w:vAlign w:val="center"/>
          </w:tcPr>
          <w:p>
            <w:pPr>
              <w:pStyle w:val="TableContents"/>
              <w:bidi w:val="0"/>
              <w:spacing w:before="0" w:after="0"/>
              <w:jc w:val="left"/>
              <w:rPr/>
            </w:pPr>
            <w:r>
              <w:rPr/>
              <w:t> </w:t>
            </w:r>
          </w:p>
          <w:tbl>
            <w:tblPr>
              <w:tblW w:w="2461" w:type="dxa"/>
              <w:jc w:val="left"/>
              <w:tblInd w:w="0" w:type="dxa"/>
              <w:tblLayout w:type="fixed"/>
              <w:tblCellMar>
                <w:top w:w="28" w:type="dxa"/>
                <w:left w:w="28" w:type="dxa"/>
                <w:bottom w:w="28" w:type="dxa"/>
                <w:right w:w="28" w:type="dxa"/>
              </w:tblCellMar>
            </w:tblPr>
            <w:tblGrid>
              <w:gridCol w:w="2461"/>
            </w:tblGrid>
            <w:tr>
              <w:trPr/>
              <w:tc>
                <w:tcPr>
                  <w:tcW w:w="2461" w:type="dxa"/>
                  <w:tcBorders/>
                  <w:vAlign w:val="center"/>
                </w:tcPr>
                <w:p>
                  <w:pPr>
                    <w:pStyle w:val="TableContents"/>
                    <w:bidi w:val="0"/>
                    <w:spacing w:before="0" w:after="0"/>
                    <w:jc w:val="left"/>
                    <w:rPr/>
                  </w:pPr>
                  <w:r>
                    <w:rPr/>
                    <w:t>Alyeska Fund GP, LLC</w:t>
                  </w:r>
                </w:p>
              </w:tc>
            </w:tr>
          </w:tbl>
          <w:p>
            <w:pPr>
              <w:pStyle w:val="TableContents"/>
              <w:bidi w:val="0"/>
              <w:spacing w:before="0" w:after="283"/>
              <w:jc w:val="left"/>
              <w:rPr/>
            </w:pPr>
            <w:r>
              <w:rPr/>
            </w:r>
          </w:p>
        </w:tc>
        <w:tc>
          <w:tcPr>
            <w:tcW w:w="25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Jason Bragg</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Bragg | Chief Financial Officer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tbl>
      <w:tblPr>
        <w:tblW w:w="3306" w:type="dxa"/>
        <w:jc w:val="left"/>
        <w:tblInd w:w="0" w:type="dxa"/>
        <w:tblLayout w:type="fixed"/>
        <w:tblCellMar>
          <w:top w:w="28" w:type="dxa"/>
          <w:left w:w="28" w:type="dxa"/>
          <w:bottom w:w="28" w:type="dxa"/>
          <w:right w:w="28" w:type="dxa"/>
        </w:tblCellMar>
      </w:tblPr>
      <w:tblGrid>
        <w:gridCol w:w="1653"/>
        <w:gridCol w:w="1653"/>
      </w:tblGrid>
      <w:tr>
        <w:trPr/>
        <w:tc>
          <w:tcPr>
            <w:tcW w:w="1653" w:type="dxa"/>
            <w:tcBorders/>
            <w:vAlign w:val="center"/>
          </w:tcPr>
          <w:p>
            <w:pPr>
              <w:pStyle w:val="TableContents"/>
              <w:bidi w:val="0"/>
              <w:spacing w:before="0" w:after="0"/>
              <w:jc w:val="left"/>
              <w:rPr/>
            </w:pPr>
            <w:r>
              <w:rPr/>
              <w:t> </w:t>
            </w:r>
          </w:p>
          <w:tbl>
            <w:tblPr>
              <w:tblW w:w="1531" w:type="dxa"/>
              <w:jc w:val="left"/>
              <w:tblInd w:w="0" w:type="dxa"/>
              <w:tblLayout w:type="fixed"/>
              <w:tblCellMar>
                <w:top w:w="28" w:type="dxa"/>
                <w:left w:w="28" w:type="dxa"/>
                <w:bottom w:w="28" w:type="dxa"/>
                <w:right w:w="28" w:type="dxa"/>
              </w:tblCellMar>
            </w:tblPr>
            <w:tblGrid>
              <w:gridCol w:w="1531"/>
            </w:tblGrid>
            <w:tr>
              <w:trPr/>
              <w:tc>
                <w:tcPr>
                  <w:tcW w:w="1531" w:type="dxa"/>
                  <w:tcBorders/>
                  <w:vAlign w:val="center"/>
                </w:tcPr>
                <w:p>
                  <w:pPr>
                    <w:pStyle w:val="TableContents"/>
                    <w:bidi w:val="0"/>
                    <w:spacing w:before="0" w:after="0"/>
                    <w:jc w:val="left"/>
                    <w:rPr/>
                  </w:pPr>
                  <w:r>
                    <w:rPr/>
                    <w:t>Anand Parekh</w:t>
                  </w:r>
                </w:p>
              </w:tc>
            </w:tr>
          </w:tbl>
          <w:p>
            <w:pPr>
              <w:pStyle w:val="TableContents"/>
              <w:bidi w:val="0"/>
              <w:spacing w:before="0" w:after="283"/>
              <w:jc w:val="left"/>
              <w:rPr/>
            </w:pPr>
            <w:r>
              <w:rPr/>
            </w:r>
          </w:p>
        </w:tc>
        <w:tc>
          <w:tcPr>
            <w:tcW w:w="165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0"/>
        <w:gridCol w:w="4455"/>
      </w:tblGrid>
      <w:tr>
        <w:trPr/>
        <w:tc>
          <w:tcPr>
            <w:tcW w:w="57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Anand Parekh</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Anand Parekh | Self</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As of March 31, 2026, the Reporting Persons beneficially own 2,928,352 shares of Common Stock, consisting of (i) 2,915,041 shares of Common Stock and (ii) 13,311 shares issuable upon exercise of warrants or conversion of Preferred Stock. The Reporting Persons hold warrants exercisable for 2,556,600 shares; however, such warrants contain a beneficial ownership limitation that prohibits exercise to the extent it would cause the holder's beneficial ownership to exceed 9.9% of the outstanding Common Stock. The Reporting Persons also hold 29,700 shares of preferred stock convertible into 2,500,000 shares of common stock, however, such preferred stock contain a beneficial ownership limitation that prohibits conversion to the extent it would cause the holder's beneficial ownership to exceed 9.9% of the outstanding Common Stock. Based on 29,579,313 shares of Common Stock outstanding (per the Form S-1 dated March 19, 2026), the 9.9% limitation permits exercise of warrants or conversion of preferred stock to only 13,311 common shares after giving effect to the 2,915,041 shares otherwise held. Position held by Alyeska Master Fund, L.P. Alyeska Investment Group, L.P., as investment manager, exercises voting and investment control over the shares held by Alyeska Master Fund, L.P. Anand Parekh, as Chief Executive Officer of Alyeska Investment Group, L.P., may be deemed the beneficial owner of such shares. Mr. Parekh disclaims beneficial ownership of such shares. 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1385</Words>
  <Characters>7266</Characters>
  <CharactersWithSpaces>8601</CharactersWithSpaces>
  <Paragraphs>254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