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8509-14_424b3.htm"/>
        <w:bookmarkStart w:id="1" w:name="kstm26850914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333-294464</w:t>
      </w:r>
      <w:r>
        <w:rPr>
          <w:rFonts w:ascii="Times New Roman;Times;serif" w:hAnsi="Times New Roman;Times;serif"/>
          <w:b/>
          <w:i w:val="false"/>
          <w:caps w:val="false"/>
          <w:smallCaps w:val="false"/>
          <w:color w:val="000000"/>
          <w:sz w:val="20"/>
        </w:rPr>
        <w:t>​</w:t>
      </w:r>
    </w:p>
    <w:p>
      <w:pPr>
        <w:pStyle w:val="TextBody"/>
        <w:bidi w:val="0"/>
        <w:spacing w:lineRule="atLeast" w:line="240" w:before="23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Eagle Nuclear Energy Corp.</w:t>
      </w:r>
      <w:r>
        <w:rPr>
          <w:rFonts w:ascii="Times New Roman;Times;serif" w:hAnsi="Times New Roman;Times;serif"/>
          <w:b/>
          <w:i w:val="false"/>
          <w:caps w:val="false"/>
          <w:smallCaps w:val="false"/>
          <w:color w:val="000000"/>
          <w:spacing w:val="6"/>
          <w:sz w:val="32"/>
        </w:rPr>
        <w:t xml:space="preserve"> </w:t>
      </w:r>
    </w:p>
    <w:p>
      <w:pPr>
        <w:pStyle w:val="TextBody"/>
        <w:bidi w:val="0"/>
        <w:spacing w:before="110" w:after="283"/>
        <w:jc w:val="center"/>
        <w:rPr>
          <w:caps w:val="false"/>
          <w:smallCaps w:val="false"/>
          <w:color w:val="000000"/>
        </w:rPr>
      </w:pPr>
      <w:r>
        <w:rPr>
          <w:caps w:val="false"/>
          <w:smallCaps w:val="false"/>
          <w:color w:val="000000"/>
        </w:rPr>
        <w:drawing>
          <wp:inline distT="0" distB="0" distL="0" distR="0">
            <wp:extent cx="22860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333375"/>
                    </a:xfrm>
                    <a:prstGeom prst="rect">
                      <a:avLst/>
                    </a:prstGeom>
                  </pic:spPr>
                </pic:pic>
              </a:graphicData>
            </a:graphic>
          </wp:inline>
        </w:drawing>
      </w:r>
      <w:r>
        <w:rPr>
          <w:caps w:val="false"/>
          <w:smallCaps w:val="false"/>
          <w:color w:val="000000"/>
        </w:rPr>
        <w:t xml:space="preserve"> </w:t>
      </w:r>
    </w:p>
    <w:p>
      <w:pPr>
        <w:pStyle w:val="TextBody"/>
        <w:bidi w:val="0"/>
        <w:spacing w:lineRule="atLeast" w:line="310" w:before="30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Primary Offering of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Up to 23,422,133 shares of Common Stock Upon the Exercise of 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Up to 5,940,000 shares of Common Stock Upon Conversion of Series A Cumulative Convertible Preferred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Secondary Offering of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Up to 30,688,995 shares of 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Up to 11,922,133 Warrants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10" w:before="70" w:after="283"/>
        <w:ind w:left="54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relates to the primary issuance by us of up to an aggregate of 29,362,133 shares of common stock, par value $0.0001 per share (the “Common Stock”), of Eagle Nuclear Energy Corp. (the “Company” or “New Eagle”), which consists of (i) up to 11,500,000 shares of Common Stock issuable upon the exercise of 11,500,000 warrants, at an exercise price of $11.50 per share (the “Public Warrants”) originally issued in the initial public offering (the “IPO”) of Spring Valley Acquisition Corp. II, an exempted company incorporated in the Cayman Islands with limited liability (“SVII”); (ii) up to an aggregate of 9,422,133 shares of Common Stock, consisting of (A) 7,000,000 shares of Common Stock issuable upon the exercise of 7,000,000 warrants, at an exercise price of $11.50 per share that were initially issued to Spring Valley Acquisition Sponsor II, LLC (the “Sponsor”) in a private placement in connection with the IPO, and (B) 2,422,133 shares of Common Stock issuable upon the exercise of (x) 1,500,000 warrants, at an exercise price of $11.50 per share issued to the Sponsor in satisfaction of working capital loans and (y) 922,133 shares of Common Stock issuable upon the exercise of warrants, with an exercise price of $11.50 per share issued to the Sponsor in connection with the completion of the Business Combination (as defined below) (collectively, the “Private Warrants”); (iii) up to an aggregate of 2,500,000 Common Shares issuable upon the exercise of 2,500,000 warrants, at an exercise price equal of $12.00 per share, issued to Alyeska Master Fund L.P. (“Alyeska”) (the “PIPE Warrants” and together with the Public Warrants and the Private Warrants, the “Warrants”), issued in a private placement (the “PIPE Financing”) that closed concurrently with the Business Combination, and (iv) 5,940,000 shares of Common Stock issuable upon the conversion of 29,700 shares of Series A Cumulative Convertible Preferred Stock, par value $0.0001 per share of New Eagle (the “Preferred Stock”) (excluding certain PIK Dividend Shares, as such term is hereinafter defined), issued in the PIPE Financing. We will receive the proceeds from any exercise of the Warrants for cash. To the extent that the Warrants are exercised on a “cashless basis,” the amount of cash we would receive from the exercise of the Warrants will decrease.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10" w:before="7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also relates to the offer and resale from time to time, upon the expiration of lock-up agreements, if applicable, by: (a) the selling shareholders named in this prospectus (including their permitted transferees, donees, pledgees and other successors-in-interest) (collectively, the “Selling Shareholders”) of up to an aggregate of 30,688,995 shares of Common Stock, consisting of (i) 1,710,991 shares of Common Stock issued to Aurora Energy Metals Ltd. (“Aurora Energy”) constituting a portion of the Aggregate Merger Consideration (as defined herein), in connection with the acquisition by Eagle Energy Metals Corp. (“Eagle”) of Oregon Energy LLC (“Oregon Energy”), a subsidiary of Aurora Energy, pursuant to the Aurora Option Agreement (as defined herein) at $10.00 per share; (ii) 2,750,000 shares of Common Stock issued to Alyeska constituting a portion of the Aggregate Merger Consideration, issued upon the exchange of 15,951,675 shares of common stock of Eagle purchased in a private placement by and between Eagle and Alyeska, such shares of Common Stock issued at a value of $0.11 per share; (iii) an aggregate of 2,408,334 shares of Common Stock issued to the Sponsor, in connection with the IPO for approximately $0.004 per share; (iv) 691,666 shares of Common Stock held by the NRA Investors (as defined herein), that were issued in the Business Combination in exchange for SVII Founder Shares (as defined below) initially issued to the Sponsor in connection with the IPO for approximately $0.004 per share and transferred by the Sponsor to the NRA Investors in connection with the Closing; (v) 120,000 shares of Common Stock held by SVII’s independent directors that were issued in exchange for SVII Founder Shares which were initially issued to the Sponsor in the IPO for approximately $0.004 and subsequently transferred by the Sponsor to SVII’s independent directors; (vi) 300,000 shares of Common Stock issued to Cohen &amp; Company Securities, LLC (the “SVII Vendor”) in connection with the closing of the Business Combination, in satisfaction of $2.5 million in fees due to the service provider, issued at a value of $8.33 per share; and (vii) an aggregate of 13,285,871 shares of Common Stock, which were received as Aggregate Merger Consideration in connection with the Business Combination by certain of the New Eagle’s insiders at a price of approximately $10.00 per share, and which are subject to 180-day lock-up restrictions set forth herein; and (viii) 9,422,133 shares of Common Stock issuable upon the exercise of the Private Warrants and (b) the selling warrant holders named in this prospectus (including their permitted transferees, donees, pledgees and other successors-in-interest) (collectively, the “Selling Warrantholders” and, together with the Selling Shareholders and including their permitted transferees, the “Selling Securityholders”) of up to an aggregate of 9,422,133 Private Warrants and 2,500,000 PIPE Warrants. </w:t>
      </w:r>
    </w:p>
    <w:p>
      <w:pPr>
        <w:pStyle w:val="TextBody"/>
        <w:bidi w:val="0"/>
        <w:spacing w:lineRule="atLeast" w:line="210" w:before="7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(the “Closing Date”), New Eagle consummated (the “Closing”) the previously announced transactions pursuant to that certain Amended and Restated Agreement and Plan of Merger, dated as of September 29, 2025 (as it may be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557" w:after="437"/>
        <w:ind w:left="54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amended, supplemented, or otherwise modified from time to time, the “Merger Agreement”), by and among SVII, New Eagle, Spring Valley Merger Sub III, Inc., a Cayman Islands exempted company and wholly owned, direct subsidiary of New Eagle (“Merger Sub 1”), Spring Valley Merger Sub II, Inc., a Nevada corporation and wholly owned, direct subsidiary of New Eagle (“Merger Sub 2”), and Eagle. The transactions contemplated by the Merger Agreement are hereinafter referred to as the “Business Combination.” Pursuant to the Merger Agreement, among other things, (i) Merger Sub 1 merged with and into SVII, with SVII continuing as the surviving corporation and a wholly-owned subsidiary of New Eagle and (ii) Merger Sub 2 merged with and into Eagle, with Eagle continuing as the surviving corporation and a wholly-owned subsidiary of New Eagle. </w:t>
      </w:r>
    </w:p>
    <w:p>
      <w:pPr>
        <w:pStyle w:val="TextBody"/>
        <w:bidi w:val="0"/>
        <w:spacing w:lineRule="atLeast" w:line="210" w:before="7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and pursuant to the terms of the Merger Agreement, Eagle stockholders received merger consideration (the “Aggregate Merger Consideration”) consisting of an aggregate of 23,350,000 shares of Common Stock. In addition, certain Eagle stockholders received the right to receive up to 1,500,000 shares of Common Stock (the “Earn Out Shares”) if the VWAP of the Common Stock equals or exceeds $16.00 for any twenty (20) trading days within a thirty (30) consecutive trading day period following the Closing. In the event such milestones are not met within the first five (5) years following the Closing, the Earn Out Shares will not be issued. </w:t>
      </w:r>
    </w:p>
    <w:p>
      <w:pPr>
        <w:pStyle w:val="TextBody"/>
        <w:bidi w:val="0"/>
        <w:spacing w:lineRule="atLeast" w:line="210" w:before="7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Closing, pursuant to that certain Property Option Agreement, dated as of November 18, 2024, as amended (the “Option Agreement”), by and among Aurora, Oregon Energy LLC (“Oregon Energy”) and Eagle, New Eagle acquired all of the membership interests of Oregon Energy. </w:t>
      </w:r>
    </w:p>
    <w:p>
      <w:pPr>
        <w:pStyle w:val="TextBody"/>
        <w:bidi w:val="0"/>
        <w:spacing w:lineRule="atLeast" w:line="210" w:before="7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connection with its previously disclosed PIPE Financing, New Eagle issued 29,700 shares of its Preferred Stock and Private Warrants to acquire 2,500,000 shares of Common Stock, and raised $29.7 million in gross proceeds. </w:t>
      </w:r>
    </w:p>
    <w:p>
      <w:pPr>
        <w:pStyle w:val="TextBody"/>
        <w:bidi w:val="0"/>
        <w:spacing w:lineRule="atLeast" w:line="210" w:before="70" w:after="283"/>
        <w:ind w:left="540" w:right="0" w:firstLine="400"/>
        <w:jc w:val="both"/>
        <w:rPr/>
      </w:pPr>
      <w:r>
        <w:rPr>
          <w:rFonts w:ascii="Times New Roman;Times;serif" w:hAnsi="Times New Roman;Times;serif"/>
          <w:b w:val="false"/>
          <w:i w:val="false"/>
          <w:caps w:val="false"/>
          <w:smallCaps w:val="false"/>
          <w:color w:val="000000"/>
          <w:spacing w:val="4"/>
          <w:sz w:val="20"/>
        </w:rPr>
        <w:t>As described herein, the Selling Securityholders named in this prospectus or their permitted transferees, may resell from time to time up to 30,688,995 shares of Common Stock and 11,922,133 Warrants. We are registering the offer and sale of these securities to satisfy certain registration rights we have granted. The Selling Securityholders may offer, sell or distribute all or a portion of the securities hereby registered publicly or through private transactions at prevailing market prices or at negotiated prices. We will not receive any of the proceeds from such sales of our Common Stock or Warrants, except with respect to amounts received by us upon the exercise of the Warrants. We will bear all costs, expenses and fees in connection with the registration of these securities, including with regard to compliance with state securities or “blue sky” laws. The Selling Securityholders will bear all commissions and discounts, if any, attributable to their sale of Common Stock or Warrants. See section entitled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beginning on page </w:t>
      </w:r>
      <w:hyperlink w:anchor="tPOD">
        <w:r>
          <w:rPr>
            <w:rStyle w:val="InternetLink"/>
          </w:rPr>
          <w:t>146</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10" w:before="70" w:after="283"/>
        <w:ind w:left="54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believe the likelihood that the warrant holders will exercise their Warrants, and therefore the amount of cash proceeds that we would receive is, among other things, dependent upon the market price of our Common Stock. If the market price for our Common Stock is less than the exercise price of $11.50 (or in the case of the PIPE Warrants, $12.00), subject to adjustment as described herein, we believe such holders will be unlikely to exercise their Warrants, as applicable. For additional information, see “</w:t>
      </w:r>
      <w:r>
        <w:rPr>
          <w:rFonts w:ascii="Times New Roman;Times;serif" w:hAnsi="Times New Roman;Times;serif"/>
          <w:b w:val="false"/>
          <w:i/>
          <w:caps w:val="false"/>
          <w:smallCaps w:val="false"/>
          <w:color w:val="000000"/>
          <w:spacing w:val="4"/>
          <w:sz w:val="20"/>
        </w:rPr>
        <w:t>Risks Related to an Investment in Our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10" w:before="7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Common Stock being registered for resale in this prospectus represent a substantial percentage of our public float and of our outstanding Common Stock. The number of shares being registered in this prospectus (which include shares issuable upon exercise of the Warrants) represents approximately 203.0% of the total Common Stock outstanding as of April 22, 2026. In addition, the securities beneficially owned by the Sponsor represent approximately 40.0% of the total Common Stock outstanding, and this holder will have the ability to sell all of its shares pursuant to the registration statement of which this prospectus forms a part so long as it is available for use and the 180-day lock-up period has expired. The sale of the securities being registered in this prospectus, or the perception in the market that such sales may occur, could result in a significant decline in the public trading price of our Common Stock. </w:t>
      </w:r>
    </w:p>
    <w:p>
      <w:pPr>
        <w:pStyle w:val="TextBody"/>
        <w:bidi w:val="0"/>
        <w:spacing w:lineRule="atLeast" w:line="210" w:before="7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some of the shares being registered for resale were acquired by the Selling Securityholders for nominal consideration or purchased for prices considerably below the Business Combination price and the current market price of the Common Stock. Even though the current market price is significantly below the price at the time of the IPO, certain Selling Securityholders have an incentive to sell because they will still profit on sales due to the lower price at which they acquired their shares as compared to the public investors. In particular, the Sponsor may experience a positive rate of return on the securities they purchased due to the differences in the purchase prices described above, to the extent they acquired such securities for less than the relevant trading price, and the public securityholders may not experience a similar rate of return on the securities they purchased due to the differences in the purchase prices described above. Based on the last reported sale price of our Common Stock referenced below, shares acquired for less than such last reported sale price, the Selling Securityholders may experience potential profit up to $7.35 per share. </w:t>
      </w:r>
    </w:p>
    <w:p>
      <w:pPr>
        <w:pStyle w:val="TextBody"/>
        <w:bidi w:val="0"/>
        <w:spacing w:lineRule="atLeast" w:line="210" w:before="7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and our Public Warrants are listed on the Nasdaq Capital Market under the symbols “NUCL” and “NUCLW,” respectively. On April 21, 2026, the closing price of our Common Stock was $10.60 and the closing price for our Public Warrants was $2.47. </w:t>
      </w:r>
    </w:p>
    <w:p>
      <w:pPr>
        <w:pStyle w:val="TextBody"/>
        <w:bidi w:val="0"/>
        <w:spacing w:lineRule="atLeast" w:line="210" w:before="70" w:after="283"/>
        <w:ind w:left="540"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are an “emerging growth company” as defined under the federal securities laws and, as such, have elected to comply with certain reduced public company reporting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10" w:before="70" w:after="283"/>
        <w:ind w:left="540" w:right="0" w:firstLine="400"/>
        <w:jc w:val="both"/>
        <w:rPr/>
      </w:pPr>
      <w:r>
        <w:rPr>
          <w:rFonts w:ascii="Times New Roman;Times;serif" w:hAnsi="Times New Roman;Times;serif"/>
          <w:b/>
          <w:i w:val="false"/>
          <w:caps w:val="false"/>
          <w:smallCaps w:val="false"/>
          <w:color w:val="000000"/>
          <w:spacing w:val="-4"/>
          <w:sz w:val="20"/>
        </w:rPr>
        <w:t>Investing in our Common Stock and Warrants is highly speculative and involves a high degree of risk. See the section entitled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beginning on page </w:t>
      </w:r>
      <w:hyperlink w:anchor="tRIFA">
        <w:r>
          <w:rPr>
            <w:rStyle w:val="InternetLink"/>
          </w:rPr>
          <w:t>16</w:t>
        </w:r>
      </w:hyperlink>
      <w:r>
        <w:rPr>
          <w:rFonts w:ascii="Times New Roman;Times;serif" w:hAnsi="Times New Roman;Times;serif"/>
          <w:b/>
          <w:i w:val="false"/>
          <w:caps w:val="false"/>
          <w:smallCaps w:val="false"/>
          <w:color w:val="000000"/>
          <w:spacing w:val="-4"/>
          <w:sz w:val="20"/>
        </w:rPr>
        <w:t xml:space="preserve"> of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10" w:before="70" w:after="283"/>
        <w:ind w:left="540"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accuracy or adequacy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10" w:before="7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April 24,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91"/>
        <w:gridCol w:w="109"/>
        <w:gridCol w:w="109"/>
        <w:gridCol w:w="109"/>
        <w:gridCol w:w="109"/>
        <w:gridCol w:w="49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91"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7"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1" w:type="dxa"/>
            <w:tcBorders/>
            <w:vAlign w:val="center"/>
          </w:tcPr>
          <w:p>
            <w:pPr>
              <w:pStyle w:val="TableContents"/>
              <w:bidi w:val="0"/>
              <w:spacing w:before="0" w:after="0"/>
              <w:jc w:val="left"/>
              <w:rPr/>
            </w:pPr>
            <w:hyperlink w:anchor="tFUT">
              <w:r>
                <w:rPr>
                  <w:rStyle w:val="InternetLink"/>
                  <w:spacing w:val="4"/>
                </w:rPr>
                <w:t xml:space="preserve">FREQUENTLY USED TERMS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7" w:type="dxa"/>
            <w:tcBorders/>
            <w:vAlign w:val="center"/>
          </w:tcPr>
          <w:p>
            <w:pPr>
              <w:pStyle w:val="TableContents"/>
              <w:bidi w:val="0"/>
              <w:spacing w:before="0" w:after="283"/>
              <w:jc w:val="right"/>
              <w:rPr/>
            </w:pPr>
            <w:hyperlink w:anchor="tFUT">
              <w:r>
                <w:rPr>
                  <w:rStyle w:val="InternetLink"/>
                  <w:spacing w:val="4"/>
                </w:rPr>
                <w:t>2</w:t>
              </w:r>
            </w:hyperlink>
            <w:hyperlink w:anchor="tFU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1" w:type="dxa"/>
            <w:tcBorders/>
            <w:shd w:fill="CCEEFF" w:val="cle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7" w:type="dxa"/>
            <w:tcBorders/>
            <w:shd w:fill="CCEEFF" w:val="clear"/>
            <w:vAlign w:val="center"/>
          </w:tcPr>
          <w:p>
            <w:pPr>
              <w:pStyle w:val="TableContents"/>
              <w:bidi w:val="0"/>
              <w:spacing w:before="0" w:after="283"/>
              <w:jc w:val="right"/>
              <w:rPr/>
            </w:pPr>
            <w:hyperlink w:anchor="tCNRF">
              <w:r>
                <w:rPr>
                  <w:rStyle w:val="InternetLink"/>
                  <w:spacing w:val="4"/>
                </w:rPr>
                <w:t>8</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1" w:type="dxa"/>
            <w:tcBorders/>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7" w:type="dxa"/>
            <w:tcBorders/>
            <w:vAlign w:val="center"/>
          </w:tcPr>
          <w:p>
            <w:pPr>
              <w:pStyle w:val="TableContents"/>
              <w:bidi w:val="0"/>
              <w:spacing w:before="0" w:after="283"/>
              <w:jc w:val="right"/>
              <w:rPr/>
            </w:pPr>
            <w:hyperlink w:anchor="tPRSU">
              <w:r>
                <w:rPr>
                  <w:rStyle w:val="InternetLink"/>
                  <w:spacing w:val="4"/>
                </w:rPr>
                <w:t>9</w:t>
              </w:r>
            </w:hyperlink>
            <w:hyperlink w:anchor="tPR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1" w:type="dxa"/>
            <w:tcBorders/>
            <w:shd w:fill="CCEEFF" w:val="cle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7" w:type="dxa"/>
            <w:tcBorders/>
            <w:shd w:fill="CCEEFF" w:val="clear"/>
            <w:vAlign w:val="center"/>
          </w:tcPr>
          <w:p>
            <w:pPr>
              <w:pStyle w:val="TableContents"/>
              <w:bidi w:val="0"/>
              <w:spacing w:before="0" w:after="283"/>
              <w:jc w:val="right"/>
              <w:rPr/>
            </w:pPr>
            <w:hyperlink w:anchor="tTHOF">
              <w:r>
                <w:rPr>
                  <w:rStyle w:val="InternetLink"/>
                  <w:spacing w:val="4"/>
                </w:rPr>
                <w:t>15</w:t>
              </w:r>
            </w:hyperlink>
            <w:hyperlink w:anchor="tTH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1"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7" w:type="dxa"/>
            <w:tcBorders/>
            <w:vAlign w:val="center"/>
          </w:tcPr>
          <w:p>
            <w:pPr>
              <w:pStyle w:val="TableContents"/>
              <w:bidi w:val="0"/>
              <w:spacing w:before="0" w:after="283"/>
              <w:jc w:val="right"/>
              <w:rPr/>
            </w:pPr>
            <w:hyperlink w:anchor="tRIFA">
              <w:r>
                <w:rPr>
                  <w:rStyle w:val="InternetLink"/>
                  <w:spacing w:val="4"/>
                </w:rPr>
                <w:t>16</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1"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7" w:type="dxa"/>
            <w:tcBorders/>
            <w:shd w:fill="CCEEFF" w:val="clear"/>
            <w:vAlign w:val="center"/>
          </w:tcPr>
          <w:p>
            <w:pPr>
              <w:pStyle w:val="TableContents"/>
              <w:bidi w:val="0"/>
              <w:spacing w:before="0" w:after="283"/>
              <w:jc w:val="right"/>
              <w:rPr/>
            </w:pPr>
            <w:hyperlink w:anchor="tUOP">
              <w:r>
                <w:rPr>
                  <w:rStyle w:val="InternetLink"/>
                  <w:spacing w:val="4"/>
                </w:rPr>
                <w:t>54</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1" w:type="dxa"/>
            <w:tcBorders/>
            <w:vAlign w:val="center"/>
          </w:tcPr>
          <w:p>
            <w:pPr>
              <w:pStyle w:val="TableContents"/>
              <w:bidi w:val="0"/>
              <w:spacing w:before="0" w:after="0"/>
              <w:jc w:val="left"/>
              <w:rPr/>
            </w:pPr>
            <w:hyperlink w:anchor="tUPFC">
              <w:r>
                <w:rPr>
                  <w:rStyle w:val="InternetLink"/>
                  <w:spacing w:val="4"/>
                </w:rPr>
                <w:t xml:space="preserve">UNAUDITED PRO FORMA CONDENSED COMBINED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7" w:type="dxa"/>
            <w:tcBorders/>
            <w:vAlign w:val="center"/>
          </w:tcPr>
          <w:p>
            <w:pPr>
              <w:pStyle w:val="TableContents"/>
              <w:bidi w:val="0"/>
              <w:spacing w:before="0" w:after="283"/>
              <w:jc w:val="right"/>
              <w:rPr/>
            </w:pPr>
            <w:hyperlink w:anchor="tUPFC">
              <w:r>
                <w:rPr>
                  <w:rStyle w:val="InternetLink"/>
                  <w:spacing w:val="4"/>
                </w:rPr>
                <w:t>55</w:t>
              </w:r>
            </w:hyperlink>
            <w:hyperlink w:anchor="tUPF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1" w:type="dxa"/>
            <w:tcBorders/>
            <w:shd w:fill="CCEEFF" w:val="clear"/>
            <w:vAlign w:val="center"/>
          </w:tcPr>
          <w:p>
            <w:pPr>
              <w:pStyle w:val="TableContents"/>
              <w:bidi w:val="0"/>
              <w:spacing w:before="0" w:after="0"/>
              <w:ind w:left="200" w:right="0" w:hanging="200"/>
              <w:jc w:val="left"/>
              <w:rPr/>
            </w:pPr>
            <w:hyperlink w:anchor="tNTUP">
              <w:r>
                <w:rPr>
                  <w:rStyle w:val="InternetLink"/>
                  <w:spacing w:val="4"/>
                </w:rPr>
                <w:t xml:space="preserve">NOTES TO UNAUDITED PRO FORMA CONDENSED COMBINED FINANCIAL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7" w:type="dxa"/>
            <w:tcBorders/>
            <w:shd w:fill="CCEEFF" w:val="clear"/>
            <w:vAlign w:val="center"/>
          </w:tcPr>
          <w:p>
            <w:pPr>
              <w:pStyle w:val="TableContents"/>
              <w:bidi w:val="0"/>
              <w:spacing w:before="0" w:after="283"/>
              <w:jc w:val="right"/>
              <w:rPr/>
            </w:pPr>
            <w:hyperlink w:anchor="tNTUP">
              <w:r>
                <w:rPr>
                  <w:rStyle w:val="InternetLink"/>
                  <w:spacing w:val="4"/>
                </w:rPr>
                <w:t>58</w:t>
              </w:r>
            </w:hyperlink>
            <w:hyperlink w:anchor="tNTU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1" w:type="dxa"/>
            <w:tcBorders/>
            <w:vAlign w:val="center"/>
          </w:tcPr>
          <w:p>
            <w:pPr>
              <w:pStyle w:val="TableContents"/>
              <w:bidi w:val="0"/>
              <w:spacing w:before="0" w:after="0"/>
              <w:jc w:val="left"/>
              <w:rPr/>
            </w:pPr>
            <w:hyperlink w:anchor="tMIFC">
              <w:r>
                <w:rPr>
                  <w:rStyle w:val="InternetLink"/>
                  <w:spacing w:val="4"/>
                </w:rPr>
                <w:t xml:space="preserve">MARKET INFORMATION FOR COMMON STOCK AND DIVIDEND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7" w:type="dxa"/>
            <w:tcBorders/>
            <w:vAlign w:val="center"/>
          </w:tcPr>
          <w:p>
            <w:pPr>
              <w:pStyle w:val="TableContents"/>
              <w:bidi w:val="0"/>
              <w:spacing w:before="0" w:after="283"/>
              <w:jc w:val="right"/>
              <w:rPr/>
            </w:pPr>
            <w:hyperlink w:anchor="tMIFC">
              <w:r>
                <w:rPr>
                  <w:rStyle w:val="InternetLink"/>
                  <w:spacing w:val="4"/>
                </w:rPr>
                <w:t>62</w:t>
              </w:r>
            </w:hyperlink>
            <w:hyperlink w:anchor="tMIF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1" w:type="dxa"/>
            <w:tcBorders/>
            <w:shd w:fill="CCEEFF" w:val="clear"/>
            <w:vAlign w:val="center"/>
          </w:tcPr>
          <w:p>
            <w:pPr>
              <w:pStyle w:val="TableContents"/>
              <w:bidi w:val="0"/>
              <w:spacing w:before="0" w:after="0"/>
              <w:ind w:left="200" w:right="0" w:hanging="200"/>
              <w:jc w:val="left"/>
              <w:rPr/>
            </w:pPr>
            <w:hyperlink w:anchor="tMDAA">
              <w:r>
                <w:rPr>
                  <w:rStyle w:val="InternetLink"/>
                  <w:spacing w:val="4"/>
                </w:rPr>
                <w:t xml:space="preserve">MANAGEMENT’S DISCUSSION AND ANALYSIS OF FINANCIAL CONDITION AND RESULTS OF OPERATIONS OF NEW EAGLE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7" w:type="dxa"/>
            <w:tcBorders/>
            <w:shd w:fill="CCEEFF" w:val="clear"/>
            <w:vAlign w:val="center"/>
          </w:tcPr>
          <w:p>
            <w:pPr>
              <w:pStyle w:val="TableContents"/>
              <w:bidi w:val="0"/>
              <w:spacing w:before="0" w:after="283"/>
              <w:jc w:val="right"/>
              <w:rPr/>
            </w:pPr>
            <w:hyperlink w:anchor="tMDAA">
              <w:r>
                <w:rPr>
                  <w:rStyle w:val="InternetLink"/>
                  <w:spacing w:val="4"/>
                </w:rPr>
                <w:t>63</w:t>
              </w:r>
            </w:hyperlink>
            <w:hyperlink w:anchor="tMD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1" w:type="dxa"/>
            <w:tcBorders/>
            <w:vAlign w:val="center"/>
          </w:tcPr>
          <w:p>
            <w:pPr>
              <w:pStyle w:val="TableContents"/>
              <w:bidi w:val="0"/>
              <w:spacing w:before="0" w:after="0"/>
              <w:ind w:left="200" w:right="0" w:hanging="200"/>
              <w:jc w:val="left"/>
              <w:rPr/>
            </w:pPr>
            <w:hyperlink w:anchor="tMDAA1">
              <w:r>
                <w:rPr>
                  <w:rStyle w:val="InternetLink"/>
                  <w:spacing w:val="4"/>
                </w:rPr>
                <w:t xml:space="preserve">MANAGEMENT’S DISCUSSION AND ANALYSIS OF FINANCIAL CONDITION AND RESULTS OF OPERATIONS OF OREGON ENERGY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7" w:type="dxa"/>
            <w:tcBorders/>
            <w:vAlign w:val="center"/>
          </w:tcPr>
          <w:p>
            <w:pPr>
              <w:pStyle w:val="TableContents"/>
              <w:bidi w:val="0"/>
              <w:spacing w:before="0" w:after="283"/>
              <w:jc w:val="right"/>
              <w:rPr/>
            </w:pPr>
            <w:hyperlink w:anchor="tMDAA1">
              <w:r>
                <w:rPr>
                  <w:rStyle w:val="InternetLink"/>
                  <w:spacing w:val="4"/>
                </w:rPr>
                <w:t>72</w:t>
              </w:r>
            </w:hyperlink>
            <w:hyperlink w:anchor="tMDAA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1" w:type="dxa"/>
            <w:tcBorders/>
            <w:shd w:fill="CCEEFF" w:val="clear"/>
            <w:vAlign w:val="center"/>
          </w:tcPr>
          <w:p>
            <w:pPr>
              <w:pStyle w:val="TableContents"/>
              <w:bidi w:val="0"/>
              <w:spacing w:before="0" w:after="0"/>
              <w:jc w:val="left"/>
              <w:rPr/>
            </w:pPr>
            <w:hyperlink w:anchor="tDONE">
              <w:r>
                <w:rPr>
                  <w:rStyle w:val="InternetLink"/>
                  <w:spacing w:val="4"/>
                </w:rPr>
                <w:t xml:space="preserve">DESCRIPTION OF NEW EAGLE’S BUSINESS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7" w:type="dxa"/>
            <w:tcBorders/>
            <w:shd w:fill="CCEEFF" w:val="clear"/>
            <w:vAlign w:val="center"/>
          </w:tcPr>
          <w:p>
            <w:pPr>
              <w:pStyle w:val="TableContents"/>
              <w:bidi w:val="0"/>
              <w:spacing w:before="0" w:after="283"/>
              <w:jc w:val="right"/>
              <w:rPr/>
            </w:pPr>
            <w:hyperlink w:anchor="tDONE">
              <w:r>
                <w:rPr>
                  <w:rStyle w:val="InternetLink"/>
                  <w:spacing w:val="4"/>
                </w:rPr>
                <w:t>78</w:t>
              </w:r>
            </w:hyperlink>
            <w:hyperlink w:anchor="tDON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1" w:type="dxa"/>
            <w:tcBorders/>
            <w:vAlign w:val="center"/>
          </w:tcPr>
          <w:p>
            <w:pPr>
              <w:pStyle w:val="TableContents"/>
              <w:bidi w:val="0"/>
              <w:spacing w:before="0" w:after="0"/>
              <w:jc w:val="left"/>
              <w:rPr/>
            </w:pPr>
            <w:hyperlink w:anchor="tDAEO">
              <w:r>
                <w:rPr>
                  <w:rStyle w:val="InternetLink"/>
                  <w:spacing w:val="4"/>
                </w:rPr>
                <w:t xml:space="preserve">DIRECTORS AND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7" w:type="dxa"/>
            <w:tcBorders/>
            <w:vAlign w:val="center"/>
          </w:tcPr>
          <w:p>
            <w:pPr>
              <w:pStyle w:val="TableContents"/>
              <w:bidi w:val="0"/>
              <w:spacing w:before="0" w:after="283"/>
              <w:jc w:val="right"/>
              <w:rPr/>
            </w:pPr>
            <w:hyperlink w:anchor="tDAEO">
              <w:r>
                <w:rPr>
                  <w:rStyle w:val="InternetLink"/>
                  <w:spacing w:val="4"/>
                </w:rPr>
                <w:t>101</w:t>
              </w:r>
            </w:hyperlink>
            <w:hyperlink w:anchor="tDAE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1" w:type="dxa"/>
            <w:tcBorders/>
            <w:shd w:fill="CCEEFF" w:val="clear"/>
            <w:vAlign w:val="center"/>
          </w:tcPr>
          <w:p>
            <w:pPr>
              <w:pStyle w:val="TableContents"/>
              <w:bidi w:val="0"/>
              <w:spacing w:before="0" w:after="0"/>
              <w:jc w:val="left"/>
              <w:rPr/>
            </w:pPr>
            <w:hyperlink w:anchor="tEXCO">
              <w:r>
                <w:rPr>
                  <w:rStyle w:val="InternetLink"/>
                  <w:spacing w:val="4"/>
                </w:rPr>
                <w:t xml:space="preserve">EXECUTIVE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7" w:type="dxa"/>
            <w:tcBorders/>
            <w:shd w:fill="CCEEFF" w:val="clear"/>
            <w:vAlign w:val="center"/>
          </w:tcPr>
          <w:p>
            <w:pPr>
              <w:pStyle w:val="TableContents"/>
              <w:bidi w:val="0"/>
              <w:spacing w:before="0" w:after="283"/>
              <w:jc w:val="right"/>
              <w:rPr/>
            </w:pPr>
            <w:hyperlink w:anchor="tEXCO">
              <w:r>
                <w:rPr>
                  <w:rStyle w:val="InternetLink"/>
                  <w:spacing w:val="4"/>
                </w:rPr>
                <w:t>111</w:t>
              </w:r>
            </w:hyperlink>
            <w:hyperlink w:anchor="tEX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1" w:type="dxa"/>
            <w:tcBorders/>
            <w:vAlign w:val="center"/>
          </w:tcPr>
          <w:p>
            <w:pPr>
              <w:pStyle w:val="TableContents"/>
              <w:bidi w:val="0"/>
              <w:spacing w:before="0" w:after="0"/>
              <w:jc w:val="left"/>
              <w:rPr/>
            </w:pPr>
            <w:hyperlink w:anchor="tPRST">
              <w:r>
                <w:rPr>
                  <w:rStyle w:val="InternetLink"/>
                  <w:spacing w:val="4"/>
                </w:rPr>
                <w:t xml:space="preserve">PRINCIPAL STOCKHOLDERS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7" w:type="dxa"/>
            <w:tcBorders/>
            <w:vAlign w:val="center"/>
          </w:tcPr>
          <w:p>
            <w:pPr>
              <w:pStyle w:val="TableContents"/>
              <w:bidi w:val="0"/>
              <w:spacing w:before="0" w:after="283"/>
              <w:jc w:val="right"/>
              <w:rPr/>
            </w:pPr>
            <w:hyperlink w:anchor="tPRST">
              <w:r>
                <w:rPr>
                  <w:rStyle w:val="InternetLink"/>
                  <w:spacing w:val="4"/>
                </w:rPr>
                <w:t>124</w:t>
              </w:r>
            </w:hyperlink>
            <w:hyperlink w:anchor="tPR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1" w:type="dxa"/>
            <w:tcBorders/>
            <w:shd w:fill="CCEEFF" w:val="clear"/>
            <w:vAlign w:val="center"/>
          </w:tcPr>
          <w:p>
            <w:pPr>
              <w:pStyle w:val="TableContents"/>
              <w:bidi w:val="0"/>
              <w:spacing w:before="0" w:after="0"/>
              <w:jc w:val="left"/>
              <w:rPr/>
            </w:pPr>
            <w:hyperlink w:anchor="tCRAR">
              <w:r>
                <w:rPr>
                  <w:rStyle w:val="InternetLink"/>
                  <w:spacing w:val="4"/>
                </w:rPr>
                <w:t xml:space="preserve">CERTAIN RELATIONSHIPS AND RELATED PARTY TRANSACTIONS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7" w:type="dxa"/>
            <w:tcBorders/>
            <w:shd w:fill="CCEEFF" w:val="clear"/>
            <w:vAlign w:val="center"/>
          </w:tcPr>
          <w:p>
            <w:pPr>
              <w:pStyle w:val="TableContents"/>
              <w:bidi w:val="0"/>
              <w:spacing w:before="0" w:after="283"/>
              <w:jc w:val="right"/>
              <w:rPr/>
            </w:pPr>
            <w:hyperlink w:anchor="tCRAR">
              <w:r>
                <w:rPr>
                  <w:rStyle w:val="InternetLink"/>
                  <w:spacing w:val="4"/>
                </w:rPr>
                <w:t>126</w:t>
              </w:r>
            </w:hyperlink>
            <w:hyperlink w:anchor="tCRA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1" w:type="dxa"/>
            <w:tcBorders/>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7" w:type="dxa"/>
            <w:tcBorders/>
            <w:vAlign w:val="center"/>
          </w:tcPr>
          <w:p>
            <w:pPr>
              <w:pStyle w:val="TableContents"/>
              <w:bidi w:val="0"/>
              <w:spacing w:before="0" w:after="283"/>
              <w:jc w:val="right"/>
              <w:rPr/>
            </w:pPr>
            <w:hyperlink w:anchor="tDOCS">
              <w:r>
                <w:rPr>
                  <w:rStyle w:val="InternetLink"/>
                  <w:spacing w:val="4"/>
                </w:rPr>
                <w:t>130</w:t>
              </w:r>
            </w:hyperlink>
            <w:hyperlink w:anchor="t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1" w:type="dxa"/>
            <w:tcBorders/>
            <w:shd w:fill="CCEEFF" w:val="clear"/>
            <w:vAlign w:val="center"/>
          </w:tcPr>
          <w:p>
            <w:pPr>
              <w:pStyle w:val="TableContents"/>
              <w:bidi w:val="0"/>
              <w:spacing w:before="0" w:after="0"/>
              <w:jc w:val="left"/>
              <w:rPr/>
            </w:pPr>
            <w:hyperlink w:anchor="tMUFI">
              <w:r>
                <w:rPr>
                  <w:rStyle w:val="InternetLink"/>
                  <w:spacing w:val="4"/>
                </w:rPr>
                <w:t xml:space="preserve">MATERIAL U.S. FEDERAL INCOME TAX CONSEQUENCES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7" w:type="dxa"/>
            <w:tcBorders/>
            <w:shd w:fill="CCEEFF" w:val="clear"/>
            <w:vAlign w:val="center"/>
          </w:tcPr>
          <w:p>
            <w:pPr>
              <w:pStyle w:val="TableContents"/>
              <w:bidi w:val="0"/>
              <w:spacing w:before="0" w:after="283"/>
              <w:jc w:val="right"/>
              <w:rPr/>
            </w:pPr>
            <w:hyperlink w:anchor="tMUFI">
              <w:r>
                <w:rPr>
                  <w:rStyle w:val="InternetLink"/>
                  <w:spacing w:val="4"/>
                </w:rPr>
                <w:t>140</w:t>
              </w:r>
            </w:hyperlink>
            <w:hyperlink w:anchor="tM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1" w:type="dxa"/>
            <w:tcBorders/>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7" w:type="dxa"/>
            <w:tcBorders/>
            <w:vAlign w:val="center"/>
          </w:tcPr>
          <w:p>
            <w:pPr>
              <w:pStyle w:val="TableContents"/>
              <w:bidi w:val="0"/>
              <w:spacing w:before="0" w:after="283"/>
              <w:jc w:val="right"/>
              <w:rPr/>
            </w:pPr>
            <w:hyperlink w:anchor="tSESE">
              <w:r>
                <w:rPr>
                  <w:rStyle w:val="InternetLink"/>
                  <w:spacing w:val="4"/>
                </w:rPr>
                <w:t>143</w:t>
              </w:r>
            </w:hyperlink>
            <w:hyperlink w:anchor="tSE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1"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7" w:type="dxa"/>
            <w:tcBorders/>
            <w:shd w:fill="CCEEFF" w:val="clear"/>
            <w:vAlign w:val="center"/>
          </w:tcPr>
          <w:p>
            <w:pPr>
              <w:pStyle w:val="TableContents"/>
              <w:bidi w:val="0"/>
              <w:spacing w:before="0" w:after="283"/>
              <w:jc w:val="right"/>
              <w:rPr/>
            </w:pPr>
            <w:hyperlink w:anchor="tPOD">
              <w:r>
                <w:rPr>
                  <w:rStyle w:val="InternetLink"/>
                  <w:spacing w:val="4"/>
                </w:rPr>
                <w:t>146</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1"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7" w:type="dxa"/>
            <w:tcBorders/>
            <w:vAlign w:val="center"/>
          </w:tcPr>
          <w:p>
            <w:pPr>
              <w:pStyle w:val="TableContents"/>
              <w:bidi w:val="0"/>
              <w:spacing w:before="0" w:after="283"/>
              <w:jc w:val="right"/>
              <w:rPr/>
            </w:pPr>
            <w:hyperlink w:anchor="tEXP">
              <w:r>
                <w:rPr>
                  <w:rStyle w:val="InternetLink"/>
                  <w:spacing w:val="4"/>
                </w:rPr>
                <w:t>147</w:t>
              </w:r>
            </w:hyperlink>
            <w:hyperlink w:anchor="t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1"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7" w:type="dxa"/>
            <w:tcBorders/>
            <w:shd w:fill="CCEEFF" w:val="clear"/>
            <w:vAlign w:val="center"/>
          </w:tcPr>
          <w:p>
            <w:pPr>
              <w:pStyle w:val="TableContents"/>
              <w:bidi w:val="0"/>
              <w:spacing w:before="0" w:after="283"/>
              <w:jc w:val="right"/>
              <w:rPr/>
            </w:pPr>
            <w:hyperlink w:anchor="tLEMA">
              <w:r>
                <w:rPr>
                  <w:rStyle w:val="InternetLink"/>
                  <w:spacing w:val="4"/>
                </w:rPr>
                <w:t>147</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1"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7" w:type="dxa"/>
            <w:tcBorders/>
            <w:vAlign w:val="center"/>
          </w:tcPr>
          <w:p>
            <w:pPr>
              <w:pStyle w:val="TableContents"/>
              <w:bidi w:val="0"/>
              <w:spacing w:before="0" w:after="283"/>
              <w:jc w:val="right"/>
              <w:rPr/>
            </w:pPr>
            <w:hyperlink w:anchor="tWYCF">
              <w:r>
                <w:rPr>
                  <w:rStyle w:val="InternetLink"/>
                  <w:spacing w:val="4"/>
                </w:rPr>
                <w:t>148</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1" w:type="dxa"/>
            <w:tcBorders/>
            <w:shd w:fill="CCEEFF" w:val="clear"/>
            <w:vAlign w:val="center"/>
          </w:tcPr>
          <w:p>
            <w:pPr>
              <w:pStyle w:val="TableContents"/>
              <w:bidi w:val="0"/>
              <w:spacing w:before="0" w:after="0"/>
              <w:jc w:val="left"/>
              <w:rPr/>
            </w:pPr>
            <w:hyperlink w:anchor="tITFS">
              <w:r>
                <w:rPr>
                  <w:rStyle w:val="InternetLink"/>
                  <w:spacing w:val="4"/>
                </w:rPr>
                <w:t xml:space="preserve">INDEX TO FINANCIAL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7" w:type="dxa"/>
            <w:tcBorders/>
            <w:shd w:fill="CCEEFF" w:val="clear"/>
            <w:vAlign w:val="center"/>
          </w:tcPr>
          <w:p>
            <w:pPr>
              <w:pStyle w:val="TableContents"/>
              <w:bidi w:val="0"/>
              <w:spacing w:before="0" w:after="283"/>
              <w:jc w:val="right"/>
              <w:rPr/>
            </w:pPr>
            <w:hyperlink w:anchor="tITFS">
              <w:r>
                <w:rPr>
                  <w:rStyle w:val="InternetLink"/>
                  <w:spacing w:val="4"/>
                </w:rPr>
                <w:t>F-1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is part of a registration statement that we filed with the SEC using a “shelf” registration process. By using a shelf registration statement, the Selling Securityholders may sell up to 30,688,995 shares of Common Stock and up to 11,922,133 Warrants from time to time in one or more offerings as described in this prospectus. We will not receive any proceeds from the sale of Common Stock or Warrants by the Selling Securityholders. This prospectus also relates to the issuance by up to 29,362,133 shares of Common Stock upon the exercise of Warrants and conversion of Preferred Stock. We will receive the proceeds from any exercise of the Warrants for cash. To the extent that the Warrants are exercised on a “cashless basis,” the amount of cash we would receive from the exercise of the Warrants will decrease.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also file a prospectus supplement or post-effective amendment to the registration statement of which this prospectus forms a part that may contain material information relating to these offerings. The prospectus supplement or post-effective amendment, as the case may be, may add, update or change information contained in this prospectus with respect to such offering. If there is any inconsistency between the information in this prospectus and the applicable prospectus supplement or post-effective amendment, you should rely on the prospectus supplement or post-effective amendment, as applicable. Before purchasing any of the Common Shares or Warrants, you should carefully read this prospectus and any prospectus supplement and/or post-effective amendment, as applicable, together with the additional information described under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Neither we nor the Selling Securityholders have authorized anyone to provide you with any information or to make any representations other than those contained in this prospectus and any prospectus supplement and/or post-effective amendment, as applicable,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 Common Stock or Warrants in any jurisdiction where the offer or sale is not permitted. You should assume that the information appearing in this prospectus and any prospectus supplement and/or post-effective amendment, as applicable, is accurate only as of the date on the respective cover. Our business, prospects, financial condition or results of operations may have changed since those dates. This prospectus contains, and any prospectus supplement or post-effective amendment may contain,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in this prospectus and any prospectus supplement and/or post-effective amendment, as applicable, may involve estimates, assumptions and other risks and uncertainties and are subject to change based on various factors, including those discussed under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this prospectus and any prospectus supplement and/or post-effective amendment, as applicable. Accordingly, investors should not place undue reliance on this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FUT"/>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FREQUENTLY USED TERMS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in this prospectus, the terms “we,” “us,” “our” or “New Eagle” refer to Eagle Nuclear Energy Corp., a Nevada corporation, and its consolidated subsidiaries. In addition, in this prospectus: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Aggregate Merger Consideration” means an aggregate of 23,350,000 shares of Common Stock to be issued to the Eagle stockholders in connection with the Transaction.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Ancillary Agreements” means the Sponsor Support Agreement, Voting and Support Agreements, Registration Rights Agreement, Lock-Up Agreements, PIPE Agreement, Common Stock Purchase Agreement and all other agreements, certificates and instruments executed and delivered by SVII, Eagle or Merger Sub in connection with the Transaction and specifically contemplated by the Merger Agreement.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Aurora Energy” means Aurora Energy Metals Ltd.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Aurora Option Agreement” means that certain Property Option Agreement, dated November 18, 2024 (as amended on November 17, 2024, December 9, 2024, November 26, 2025 and February 24, 2026), by and among Aurora Energy, Oregon Energy and Eagle, pursuant to which Eagle acquired Oregon Energy (including the Aurora Uranium Project) from Aurora.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Aurora Uranium Project” refers to the largest mineable, measured and indicated uranium deposit in the United States situated in the state of Oregon, within Malheur County in the Quinn River Valley, which will be acquired pursuant to the Aurora Option Agreement. See “</w:t>
      </w:r>
      <w:r>
        <w:rPr>
          <w:rFonts w:ascii="Times New Roman;Times;serif" w:hAnsi="Times New Roman;Times;serif"/>
          <w:b w:val="false"/>
          <w:i/>
          <w:caps w:val="false"/>
          <w:smallCaps w:val="false"/>
          <w:color w:val="000000"/>
          <w:spacing w:val="4"/>
          <w:sz w:val="20"/>
        </w:rPr>
        <w:t>Description of New Eagle’s Business — The Aurora Uranium Project (The Aurora Deposit and Cordex Zone)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Business Combination” means, collectively, the Mergers and the other transactions contemplated by the Merger Agreement and the Transaction Documents.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Bylaws” means the amended and restated bylaws of New Eagle adopted on February 24, 2026.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Certificate of Designation” means the amended and restated Series A Preferred Stock Certificate of Designation of New Eagle filed with the Secretary of State of the State of Nevada on February 27, 2026.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Charter” means the amended and restated articles of incorporation of New Eagle adopted on February 24, 2026.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B Conversion” means the conversion by the SVII Initial Shareholders on January 25, 2024, in connection with the approval of the First SVII Articles Amendment, of 7,666,666 SVII Class B Ordinary Shares to SVII Class A Ordinary Shares on a one-for-one basis in accordance with the SVII Articles.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Closing” means the closing of the Second Merger and the closing of the Transaction.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Closing Date” means February 24, 2026.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Code” means the U.S. Internal Revenue Code of 1986, as amended.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Common Stock” means the common stock, par value $0.0001 per share, of New Eagle, as contemplated by the Charter.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Common Stock Purchase Agreement” means the amended and restated securities purchase agreement, dated as of September 29, 2025, by and between Eagle and the PIPE Investor, pursuant to which the PIPE Investor purchased shares of Eagle Common Stock.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Companies Act” means the Companies Act (As Revised) of the Cayman Islands as the same may be amended from time to time.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Continental” means Continental Stock Transfer &amp; Trust Company.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Contribution Agreement” means the Contribution Agreement, dated as of September 29, 2025, by and between SVII and New Eagle, executed in connection with the Merger Agreement.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Contributions” means the deposits to the Trust Account by the Sponsor, in the amount of $150,000 per month, pursuant to the Extension Promissory Note.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DTC” means the Depository Trust Company.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Eagle” or “Eagle Energy” means Eagle Energy Metals Corp., a Nevada corporation.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Eagle Common Stock” means the common stock, par value $0.0001 per share, of Eagle.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Exchange Act” means the U.S. Securities Exchange Act of 1934, as amended.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Extension Promissory Note” means the unsecured promissory note, dated January 10, 2024, by and between SVII and the Sponsor, pursuant to which the Sponsor had agreed to make monthly Contributions to the Trust Account not to exceed $3,150,000 in the aggregate.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Extension Promissory Note Maturity Date” means the earlier of (i) the date by which SVII must consummate an initial business combination pursuant to the SVII Articles, (ii) SVII’s consummation of an initial business combination, and (iii) if SVII does not consummate an initial business combination, the date of SVII’s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First Effective Time” means the effective time of the First Merger.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First Merger” means the merger of Merger Sub 1 with and into SVII, with SVII surviving such merger as the Surviving Corporation, as a result of which, SVII became a direct, wholly owned subsidiary of New Eagle.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GAAP” means generally accepted accounting principles as in effect in the United States from time to time.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Governmental Authority” means any federal, state, county or local or non-U.S. government, governmental, national, supranational, regulatory, taxing or administrative authority, agency, instrumentality or commission or any legislature or court, tribunal, or judicial or arbitral body.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IPO” means the initial public offering of SVII Units consummated by SVII on October 17, 2022.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IPO Promissory Note” means the means the unsecured promissory note, dated January 26, 2021, by and between SVII and the Sponsor, as amended and restated on January 28, 2022 and subsequently amended and restated on September 26, 2022, to cover IPO offering costs not to exceed $300,000.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IPO Prospectus” means the final prospectus for the IPO, dated as of October 12, 2022.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IPO Underwriters” means Citi and Guggenheim, as the underwriters of the IPO.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Insider Letter Agreement” means the Letter Agreement, dated as of October 12, 2022, by and among SVII, the Sponsor and certain individuals party thereto, as amended by the Insider Letter Agreement Amendment.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Insider Letter Agreement Amendment” means Amendment No. 1 to Letter Agreement, dated as of January 10, 2024, by and among SVII, the Sponsor and certain individuals party thereto.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Investment Company Act” means the Investment Company Act of 1940, as amended.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IR Act” means the Inflation Reduction Act of 2022.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JOBS Act” means the Jumpstart Our Business Startups Act of 2012, as amended.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Law” means any federal, national, state, county, municipal, provincial, local, foreign or multinational, statute, constitution, common law, ordinance, code, decree, order, injunction, judgment, rule, regulation, executive order, award, ruling or requirement issued, enacted, adopted, promulgated, implemented or otherwise put into effect by or under the authority of any Governmental Authority.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Lock-Up Agreements” means, collectively, the Lock-Up Agreements entered into at the Closing by and between New Eagle and each of the Sponsor and certain other holders of New Eagle securities upon the Closing.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Mergers” means the First Merger and the Second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Agreement” means the Amended and Restated Agreement and Plan of Merger, dated as of September 29, 2025, as it may be amended, supplemented, or otherwise modified from time to time, by and among SVII, New Eagle, Merger Sub 1, Merger Sub 2 and Eagle.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Sub 1” means Spring Valley Merger Sub III, Inc., a Cayman Islands exempted company and wholly owned, direct subsidiary of New Eagle.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Sub 1 Ordinary Shares” means the ordinary shares, no par value, of Merger Sub 1.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Sub 2” means Spring Valley Merger Sub II, Inc., a Nevada corporation which became a wholly owned, direct subsidiary of New Eagle pursuant to the Contribution Agreement.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Sub 2 Common Stock” means the common stock, no par value, of Merger Sub 2.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Subs” means Merger Sub 1 and Merger Sub 2.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Nasdaq” means The Nasdaq Stock Market LLC.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New Eagle” means Eagle Nuclear Energy Corp., a Nevada corporation, including, where applicable, its consolidated subsidiaries.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Board” means the board of directors of New Eagle.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New Eagle Equity Plan” means the Eagle Nuclear Energy Corp. 2025 Equity Incentive Plan adopted in connection with the Closing.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New Eagle Stockholders” means the holders of shares of Common Stock.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Non-Redemption Agreements” means the Non-Redemption Agreements entered into by SVII and the Sponsor with the NRA Investors on October 24, 2024, October 25, 2024, November 8, 2024, November 11, 2024 and November 12, 2024, in each case in connection with the Second SVII EGM, pursuant to which the parties thereto agreed that, in exchange for the NRA Investors agreeing not to redeem an aggregate of 2,075,000 SVII Public Shares in connection with the approval of the Second SVII Articles Amendment, the Sponsor would transfer, or forfeit and cause the issuance of, an aggregate of 691,666 SVII Founder Shares to the NRA Investors in connection with SVII’s completion of an initial business combination.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NRA Investors” means the SVII shareholders party to the Non-Redemption Agreements, which are in each case third parties unaffiliated with SVII.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NRS” means the Nevada Revised Statutes, as amended.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Oregon Acquisition” means the acquisition of Oregon Energy (including the Aurora Uranium Project) from Aurora Energy pursuant to the Aurora Option Agreement.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Oregon Energy” means Oregon Energy LLC, an Oregon limited liability company and, prior to the Oregon Acquisition, a subsidiary of Aurora Energy.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Organizational Documents” means the Charter and the Bylaws.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PCAOB” means the Public Company Accounting Oversight Board and any division or subdivision thereof.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Person” means an individual, corporation, partnership, limited partnership, limited liability company, company, joint venture, estate, syndicate, person (including, without limitation, a “person” as defined in Section 13(d)(3) of the Exchange Act), trust, association or entity or Governmental Authority.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PIPE Agreement” means the Amended and Restated Securities Purchase Agreement, dated as of September 29, 2025, by and among SVII, Eagle, New Eagle, and the PIPE Investor, pursuant to which such investor has agreed to acquire shares of New Eagle Series A Preferred Stock and New Eagle PIPE Warrants.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PIPE Financing” means the financing arrangements pursuant to the PIPE Agreement.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PIPE Investor” means Alyeska Master Fund, 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PIPE Warrants” means the warrants to purchase shares of Common Stock at an exercise price of $12.00 per share, issued to the PIPE Investor in connection with the PIPE Financing.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Preferred Stock” means the Series A Cumulative Convertible Preferred Stock, par value $0.0001 per share, of New Eagle, having the rights, preferences and privileges set forth in the Certificate of Designation.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Private Placement” means the private placement of SVII Private Warrants to the Sponsor in connection with the IPO.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Private Warrants” means warrants to purchase shares of Common Stock pursuant to the Warrant Assumption Agreement at an exercise price of $11.50 per share.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Public Warrants” means warrants to purchase shares of Common Stock pursuant to the New Eagle Public Warrant Agreement at an exercise price of $11.50 per share.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Private Warrant Agreement” means the Private Warrant Agreement, dated as of October 12, 2022, by and between SVII and Continental, as warrant agent, assigned to New Eagle pursuant to the Warrant Assumption Agreement.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Proxy Statement” means SVII’s definitive proxy statement/prospectus filed with the SEC and mailed to its shareholders on or about February 2, 2026.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Public Warrant Agreement” means the Public Warrant Agreement, dated as of October 12, 2022, by and between SVII and Continental, as warrant agent, assigned to New Eagle pursuant to the Warrant Assumption Agreement.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Registration Rights Agreement” means the Amended and Restated Registration Rights Agreement, dated February 24, 2026, by and among New Eagle, the Sponsor and certain holders of New Eagle securities upon the Closing.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Rights Agreement” means the Rights Agreement, dated as of October 12, 2022, by and among SVII and Continental, as rights agent.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Sarbanes-Oxley Act” means the Sarbanes-Oxley Act of 2002, as amended.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 means the U.S. Securities and Exchange Commission.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Second Extension Promissory Note” means that certain Promissory Note, dated as of October 8, 2025, by and between SVII and the Sponsor.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Second Merger” means the merger of Merger Sub 2 with and into Eagle, with Eagle surviving such merger as the Surviving Company, as a result of which, Eagle shall become a direct, wholly owned subsidiary of New Eagle.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Securities Act” means the U.S. Securities Act of 1933, as amended.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SPAC” means special purpose acquisition company.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Sponsor” means Spring Valley Acquisition Sponsor II, LLC, a Delaware limited liability company.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Sponsor Support Agreement” means the Amended and Restated Sponsor Support Agreement, dated as of September 29, 2025, by and among SVII, New Eagle, Eagle and the Sponsor, executed in connection with the Merger Agreement.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Subsidiary” or “Subsidiaries” of any Person means, with respect to such Person, any partnership, limited liability company, corporation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 or (c) in any case, such Person controls the management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Surviving Company” means Eagle immediately following consummation of the Second Merger.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Surviving Company Common Stock” means the common stock, par value $0.0001 per share, of the Surviving Company.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Surviving Corporation” means SVII immediately following consummation of the First Merger.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Surviving Corporation Ordinary Shares” means the Class A ordinary shares, par value $0.0001 per share, of the Surviving Corporation.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or “Spring Valley” means Spring Valley Acquisition Corp. II, a Cayman Islands exempted company.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Articles” means the amended and restated memorandum and articles of association of SVII adopted by special resolution dated October 12, 2022 and effective on October 12, 2022, as amended by the First SVII Articles Amendment, the Second SVII Articles Amendment and the Third SVII Articles Amendment, and as may be further amended, modified or supplemented from time to time.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Board” means the board of directors of SVII.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Class A Ordinary Shares” means the Class A ordinary shares, par value $0.0001 per share, of SVII.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Class B Ordinary Shares” means the Class B ordinary shares, par value $0.0001 per share, of SVII.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Founder Shares” means the SVII Class B Ordinary Shares issued to the SVII Initial Shareholders prior to the IPO, including the SVII Class A Ordinary Shares issued in the Class B Conversion.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Initial Shareholders” means the holders of the SVII Founder Shares prior to the IPO and their permitted transferees, as applicable.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Ordinary Shares” means the SVII Class A Ordinary Shares and the sole issued and outstanding SVII Class B Ordinary Share.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Preference Shares” means the preference shares, par value $0.0001 per share, of SVII.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Private Warrants” means the private placement warrants to purchase SVII Class A Ordinary Shares issued to the Sponsor in the Private Placement.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Public Shareholders” means the holders of SVII Public Shares.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Public Shares” means the SVII Class A Ordinary Shares issued as a component of the SVII Units.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Public Warrants” means the warrants to purchase SVII Class A Ordinary Shares issued as a component of the SVII Units.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Rights” means the rights to receive one-tenth (1/10) of one SVII Class A Ordinary Share upon the consummation of SVII’s initial business combination issued as a component of the SVII Units.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Service Provider” means the service provider of SVII expected to receive an aggregate of 300,000 shares of Common Stock at the Closing in satisfaction of $2.5 million in fees due to such service provider.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Units” means the units issued in the IPO, each of which consisted of one SVII Class A Ordinary Share, one SVII Right and one-half (1/2) of one SVII Public Warrant.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SVII Warrants” means the SVII Public Warrants and the SVII Private Warrants.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Tax” or “Taxes” means any and all federal, state, provincial, local and foreign income, profits, franchise, gross receipts, environmental, capital stock, shares, severances, stamp, payroll, sales, employment, unemployment, disability, use, real property, personal property, withholding, excise, production, value added, occupancy and other taxes, duties or similar assessments, imposed, administered, collected or assessed by a Governmental Authority having or purporting to exercise jurisdiction with respect to any Tax, together with all interest, fines, penalties and additions imposed with respect to such amounts.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360"/>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Transaction Documents” means the Merger Agreement, the Ancillary Agreements, and all other agreements, certificates and instruments executed and delivered by SVII, New Eagle, Eagle or the Merger Subs in connection with the Transaction and specifically contemplated by the Merger Agreement.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Trust Account” means the trust account established for the benefit of the SVII Public Shareholders in connection with the IPO, with Continental acting as trustee pursuant to the Trust Agreement.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Trust Agreement” means the Investment Management Trust Agreement, dated as of October 12, 2022, by and between SVII and Continental, as trustee.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Voting and Support Agreements” means, collectively, the Amended and Restated Voting and Support Agreements, dated as of September 29, 2025, by and among SVII, New Eagle, Eagle and certain Eagle shareholders, executed in connection with the Merger Agreement.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Warrants” means the Public Warrants, Private Warrants and PIPE Warrants.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Warrant Agreements” means the Public Warrant Agreement and the Private Warrant Agreement.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Warrant Assumption Agreement” means the Warrant Assumption Agreement dated February 24, 2026, by and among New Eagle, SVII and Continental.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Working Capital Loans” means any loan made to SVII by the Sponsor, an affiliate of the Sponsor or certain of SVII’s officers or directors to fund working capital deficiencies or finance transaction costs in connection with an intended initial business combination.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CN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contains forward-looking statements, including statements about the anticipated benefits of the Business Combination, and the financial conditions, results of operations, earnings outlook and prospects of New Eagle and other statements about the period following the consummation of the Business Combination. Forward-looking statements appear in a number of places in this prospectus including, without limitation, in the sections titled “</w:t>
      </w:r>
      <w:r>
        <w:rPr>
          <w:rFonts w:ascii="Times New Roman;Times;serif" w:hAnsi="Times New Roman;Times;serif"/>
          <w:b w:val="false"/>
          <w:i/>
          <w:caps w:val="false"/>
          <w:smallCaps w:val="false"/>
          <w:color w:val="000000"/>
          <w:spacing w:val="4"/>
          <w:sz w:val="20"/>
        </w:rPr>
        <w:t>New Eagle 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Business of New Eagle</w:t>
      </w:r>
      <w:r>
        <w:rPr>
          <w:rFonts w:ascii="Times New Roman;Times;serif" w:hAnsi="Times New Roman;Times;serif"/>
          <w:b w:val="false"/>
          <w:i w:val="false"/>
          <w:caps w:val="false"/>
          <w:smallCaps w:val="false"/>
          <w:color w:val="000000"/>
          <w:spacing w:val="4"/>
          <w:sz w:val="20"/>
        </w:rPr>
        <w:t xml:space="preserve">.”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are based on the current expectations of the management of New Eagle and are inherently subject to uncertainties and changes in circumstances and their potential effects and speak only as of the date of such statement. There can be no assurance that future developments will be those that have been anticipated.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subsequent written and oral forward-looking statements concerning the Business Combination or other matters addressed in this prospectus and attributable to New Eagle or any person acting on their behalf are expressly qualified in their entirety by the cautionary statements contained or referred to in this prospectus. Except to the extent required by applicable law or regulation, New Eagle undertakes no obligation to update these forward-looking statements to reflect events or circumstances after the date of this prospectus or to reflect the occurrence of unanticipated events.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PRSU"/>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certain information appearing elsewhere in this prospectus. Because it is only a summary, it does not contain all of the information that you should consider before investing in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and the financial statements of New Eagle and related notes thereto included elsewhere in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New Eagle is a next-generation nuclear energy company that seeks to combine domestic uranium exploration and development with proprietary small modular reactor (SMR) technology. New Eagle is an early-stage company and has limited operating history, no current revenues and has been operating at a net loss since incorporation. New Eagle owns the largest mineable, measured and indicated uranium deposit in the United States, referred to as the Aurora Uranium Project, located in southeastern Oregon. The Aurora Uranium Project includes the Aurora deposit, with an estimated 32.75 million pounds (Indicated) and 4.98 million pounds (Inferred) of near surface uranium, and the adjacent Cordex Zone. New Eagle’s SMR technology, developed under an exclusive license agreement with UNMRI, the technology licensing arm of the University of New Mexico, is based on liquid metal-cooled reactors. It includes the VSLLIM, with electrical generation capacities of less than 10MWth, and the SLIMM, with output capacities between 10MWth and 100MWth.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New Eagle’s mission is to supply uranium to the growing nuclear energy industry and play a leading role in the global transition to clean, reliable, and affordable energy. New Eagle is committed to meeting rising demand for resilient, cost-effective energy and supporting advanced computing and artificial intelligence by providing uranium for both traditional nuclear reactors and the SMRs it plans to develop. New Eagle may also enter into offtake agreements to sell excess uranium to energy producers, utilities, nuclear fuel fabricators, and advanced reactor developers seeking secure domestic supply. By combining a substantial uranium asset with advanced SMR technology, New Eagle seeks to create an integrated nuclear platform positioned to help restore American leadership in the global nuclear industry.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Background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Business Combination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February 24, 2026, New Eagle completed a series of transactions that resulted in the combination (the “Business Combination”) of Spring Valley Acquisition Corp. II, an exempted company incorporated in the Cayman Islands with limited liability (“SVII”), New Eagle, Spring Valley Merger Sub III, Inc., a Cayman Islands exempted company and wholly owned, direct subsidiary of New Eagle (“Merger Sub 1”), Spring Valley Merger Sub II, Inc., a Nevada corporation and wholly owned, direct subsidiary of New Eagle (“Merger Sub 2”), and Eagle Energy Metals Corp., a Nevada corporation (“Eagle”), pursuant to the previously announced Amended and Restated Agreement and Plan of Merger, dated as of September 29, 2025 (as it may be amended, supplemented, or otherwise modified from time to time, the “Merger Agreement”) by and among the parties.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February 23, 2026, SVII held its extraordinary general meeting of shareholders (the “Meeting”) as both a physical and virtual meeting, conducted via live webcast, in connection with the proposed Business Combination, as described in SVII’s definitive proxy statement/prospectus filed with the U.S. Securities and Exchange Commission (the “SEC”) and mailed to its shareholders on or about February 2, 2026 (the “Proxy Statement”). Each proposal (individually a “Proposal”) voted upon at the Meeting and the final voting results are indicated below. Each Proposal voted on at the Meeting is described in detail in the Proxy Statement. Following the approval of the various proposals presented at the Meeting (as described in in the Proxy Statement), on February 24, 2026, pursuant to the terms of the Merger Agreement, the following transactions occurred: (a) (i) (A) immediately prior to the First Effective Time (as defined below), the sole outstanding Class B ordinary share, par value $0.0001 per share, of SVII converted into one Class A ordinary share, par value $0.0001 per share, of SVII (“SVII Class A Ordinary Shares”), (B) each outstanding unit of SVII separated and converted into its component securities, and (C) each outstanding right of SVII to receive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one-tenth (1/10) of one SVII Class A Ordinary Share was converted, in multiples of ten, into the underlying SVII Class A Ordinary Shares, and (ii) at the First Effective Time (as defined below), (A) Merger Sub 1 merged (the “First Merger”) with and into SVII (the “First Effective Time”), with SVII surviving (the “Surviving Corporation”), and, as a result of the First Merger, SVII became a direct, wholly owned subsidiary of New Eagle, (B) each ordinary share of Merger Sub 1 issued and outstanding immediately prior to the First Effective Time was converted into one share of SVII Class A Ordinary Share, (C) each SVII Class A Ordinary Share issued and outstanding immediately prior to the First Effective Time was canceled and converted into a number of shares of Common Stock automatically on a one-for-one basis, following which all SVII Class A Ordinary Shares ceased to be outstanding and were automatically be canceled and retired and ceased to exist, and (D) each then issued and outstanding warrant to purchase SVII Class A Ordinary Shares (“SVII Warrants”) was convert automatically, on a one-for-one basis, into a warrant to acquire one share Common Stock, in the same form and on the same terms and conditions and SVII assigned all of its right, title and interests in the related Warrant Agreements (as defined herein) to New Eagle pursuant to an assumption agreement; (b) at the effective time of the Second Merger (the “Second Effective Time”), (i) Merger Sub 2 merged with and into Eagle (the “Second Merger”), with Eagle surviving as the surviving company (the “Surviving Company”), and, as a result of the Second Merger, Eagle became a direct, wholly owned subsidiary of New Eagle, (ii) each share of common stock of Merger Sub 2, issued and outstanding immediately prior to the Second Effective Time was converted into one validly issued, fully paid and nonassessable share of common stock, par value $0.0001 per share, of Eagle (“Eagle Common Stock”), (iii) each share of existing Eagle Common Stock issued and outstanding immediately prior to the Second Effective Time was canceled and converted into a number of shares of Common Stock equal to the Exchange Ratio (as defined in the Merger Agreement) resulting in an aggregate of 23,350,000 shares of Common Stock being issued to the Eagle stockholders (the “Aggregate Merger Consideration”).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PIPE Financing</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Business Combination, SVII, New Eagle and Eagle entered into an Amended and Restated Securities Purchase Agreement (the “PIPE Agreement”) with an accredited investor (Alyeska, or the “PIPE Investor”), pursuant to which such investor agreed, among other things, to purchase for an aggregate purchase price of $29,700,000 the following New Eagle securities at the Closing: (i) 29,700 shares of Series A Cumulative Convertible Preferred Stock, par value $0.0001 per share, of New Eagle (“Preferred Stock”), having the rights, preferences and privileges set forth in the Certificate of Designation, and (ii) warrants to purchase an aggregate of 2,500,000 shares of Common Stock (“PIPE Warrants” and together with the Public Warrants and the Private Warrants, the “Warrants”), at an exercise price of $12.00 per share.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Loan Conversion and Sponsor Forfeiture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Business Combination, SVII, New Eagle and Eagle entered into an Amended and Restated Sponsor Support Agreement (the “Sponsor Support Agreement”) with SVII’s sponsor, Spring Valley Acquisition Sponsor II, LLC (the “Sponsor”), pursuant to which the Sponsor agreed, among other things, (i) to the conversion of loans (the “Contributions”) from the Sponsor outstanding at Closing to warrants of New Eagle, resulting in the issuance of 2,422,133 New Eagle Private Warrants to the Sponsor at the Closing, and (ii) to forfeit, concurrently with the Closing, an amount of shares of Common Stock and New Eagle Private Warrants such that the Sponsor holds (a) 3,100,000 shares of Common Stock (representing founder shares (“SVII Founder Shares”) initially issued to the Sponsor in connection with SVII’s initial public offering (the “IPO”), inclusive of such shares subsequently transferred to SVII’s independent directors (together with the Sponsor, the “SVII Initial Shareholders”) and transferred by the Sponsor to the NRA Investors (as defined below)), and (b) 9,422,133 New Eagle Private Warrants (representing 7,000,000 SVII Private Warrants initially issued to the Sponsor in connection with the IPO and 2,422,133 SVII Private Warrants).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Transfer to NRA Investors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certain Non-Redemption Agreements entered into by SVII, the Sponsor and certain third parties unaffiliated with SVII (the “NRA Investors”) in connection with an extraordinary general meeting of shareholders (the “Second SVII EGM”) held by SVII in November 2024 (the “Non-Redemption Agreements”), the Sponsor was obligated to transfer an aggregate of 691,666 shares of Common Stock to the NRA Investors at the Closing.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Service Provider Issuance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Business Combination, an aggregate of 300,000 shares of Common Stock are were issued to Cohen &amp; Company Securities, LLC, a service provider of SVII (the “SVII Service Provider”), in satisfaction of $2.5 million in fees due to the SVII Service Provider.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Oregon Acquisition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Business Combination, 1,710,991 shares of Common Stock, constituting a portion of the Aggregate Merger Consideration, were issued to Aurora Energy Metals Ltd. (“Aurora Energy”) in connection with the acquisition by Eagle of Oregon Energy LLC (“Oregon Energy”), a subsidiary of Aurora Energy, pursuant to the Aurora Option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Common Stock and our Public Warrants are listed on the Nasdaq Capital Market under the symbols “NUCL” and “NUCLW,” respectively. On April 21, 2026, the closing price of our Common Stock was $10.60 and the closing price for our Public Warrants was $2.47.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There is no assurance that the holders of the Warrants will elect to exercise any or all of the Warrants, which could impact our liquidity position. To the extent that the Warrants are exercised on a “cashless basis,” the amount of cash we would receive from the exercise of the Warrants will decrease. We believe the likelihood that Warrant holders will exercise their Warrants, and therefore the amount of cash proceeds that we would receive is, among other things, dependent upon the market price of our Common Stock. If the market price for our Common Stock is less than the applicable exercise price of $11.50 (or in the case of the PIPE Warrants, $12.00), subject to adjustment as described herein, we believe such holders will be unlikely to exercise their Warrants. We believe, based on our current operating plan, that our existing cash and cash equivalents will be sufficient to meet our anticipated cash needs for working capital, financial liabilities, capital expenditures and business expansion for at least the next 12 months. The Company does not believe this offering will have a significant impact on our ability to raise additional financing, although it may impact the per share price and shares issued in any capital raise.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Common Stock being registered for resale in this prospectus represents a substantial percentage of our public float and of our outstanding Common Stock. The number of shares being registered in this prospectus (which include shares issuable upon exercise of the Warrants) represents approximately 203.0% of the total shares of Common Stock outstanding as of April 22, 2026. In addition, the securities beneficially owned by the Sponsor represent approximately 40.0% of the total Common Stock outstanding, and the Sponsor will have the ability to sell all of its shares pursuant to the registration statement of which this prospectus forms a part so long as it is available for use and the six month lockup has expired. The sale of the securities being registered in this prospectus, or the perception in the market that such sales may occur, could result in a significant decline in the public trading price of our Common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rights of holders of our Common Stock and Warrants are governed by our amended and restated articles of incorporation (the “Charter”), amended and restated bylaws (the “Bylaws”), and the Nevada Revised Statutes, as amended (the “NRS”), and in the case of the warrants, the Warrant Agreements (as amended by the Warrant Assumption Agreement, dated February 24, 2026, by and among New Eagle, SVII and Continental, the “Warrant Agreements”). See the section entitled “</w:t>
      </w:r>
      <w:r>
        <w:rPr>
          <w:rFonts w:ascii="Times New Roman;Times;serif" w:hAnsi="Times New Roman;Times;serif"/>
          <w:b w:val="false"/>
          <w:i/>
          <w:caps w:val="false"/>
          <w:smallCaps w:val="false"/>
          <w:color w:val="000000"/>
          <w:spacing w:val="4"/>
          <w:sz w:val="20"/>
          <w:bdr w:val="single" w:sz="8" w:space="1" w:color="000000"/>
        </w:rPr>
        <w:t>Description of Capital Stock</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an Emerging Growth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an “emerging growth company” as defined in Section 2(a) of the Securities Act of 1933, as amended (the “Securities Act”), as modified by the Jumpstart Our Business Startups Act of 2012 (the “JOBS Act”). As an emerging growth company, we may benefit from specified reduced disclosure and other requirements that are otherwise applicable generally to public companies. These provisions include: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presentation of only two years of audited financial statements and only two years of related management’s discussion and analysis of financial condition and results of operations in this prospectus; </w:t>
      </w:r>
      <w:r>
        <mc:AlternateContent>
          <mc:Choice Requires="wps">
            <w:drawing>
              <wp:anchor behindDoc="0" distT="7874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reduced disclosure about our executive compensation arrangements; </w:t>
      </w:r>
      <w:r>
        <mc:AlternateContent>
          <mc:Choice Requires="wps">
            <w:drawing>
              <wp:anchor behindDoc="0" distT="7874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non-binding stockholder advisory votes on executive compensation or golden parachute arrangements; </w:t>
      </w:r>
      <w:r>
        <mc:AlternateContent>
          <mc:Choice Requires="wps">
            <w:drawing>
              <wp:anchor behindDoc="0" distT="0" distB="0" distL="254000" distR="0" simplePos="0" locked="0" layoutInCell="1" allowOverlap="1" relativeHeight="11">
                <wp:simplePos x="0" y="0"/>
                <wp:positionH relativeFrom="column">
                  <wp:align>left</wp:align>
                </wp:positionH>
                <wp:positionV relativeFrom="line">
                  <wp:posOffset>635</wp:posOffset>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exemption from any requirement of the Public Company Accounting Oversight Board regarding mandatory audit firm rotation or a supplement to the auditor’s report providing additional information about the audit and the financial statements (i.e., an auditor discussion and analysis); and </w:t>
      </w:r>
      <w:r>
        <mc:AlternateContent>
          <mc:Choice Requires="wps">
            <w:drawing>
              <wp:anchor behindDoc="0" distT="635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exemption from the auditor attestation requirement in the assessment of our internal control over financial reporting. </w:t>
      </w:r>
      <w:r>
        <mc:AlternateContent>
          <mc:Choice Requires="wps">
            <w:drawing>
              <wp:anchor behindDoc="0" distT="635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benefit from these exemptions we are no longer an emerging growth company. We will remain an emerging growth company until the earliest of (i) the last day of the fiscal year in which the market value of the shares of Common Stock that are held by non-affiliates exceeds $700 million as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the last day of the fiscal year following the fifth anniversary of the date of the first sale of SVII Class A Ordinary Shares in the IPO. We may choose to benefit from some but not all of these reduced disclosure obligations in future filings. If we do, the information that we provide stockholders may be different than you might get from other public companies in which you hold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pPr>
      <w:r>
        <w:rPr>
          <w:rFonts w:ascii="Times New Roman;Times;serif" w:hAnsi="Times New Roman;Times;serif"/>
          <w:b w:val="false"/>
          <w:i w:val="false"/>
          <w:caps w:val="false"/>
          <w:smallCaps w:val="false"/>
          <w:color w:val="000000"/>
          <w:spacing w:val="4"/>
          <w:sz w:val="20"/>
          <w:bdr w:val="single" w:sz="8" w:space="1" w:color="000000"/>
        </w:rPr>
        <w:t>You should consider all the information contained in this prospectus before making a decision to invest in our Securities. In particular, you should consider the risk factors described under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RIFA">
        <w:r>
          <w:rPr>
            <w:rStyle w:val="InternetLink"/>
          </w:rPr>
          <w:t>16</w:t>
        </w:r>
      </w:hyperlink>
      <w:r>
        <w:rPr>
          <w:rFonts w:ascii="Times New Roman;Times;serif" w:hAnsi="Times New Roman;Times;serif"/>
          <w:b w:val="false"/>
          <w:i w:val="false"/>
          <w:caps w:val="false"/>
          <w:smallCaps w:val="false"/>
          <w:color w:val="000000"/>
          <w:spacing w:val="4"/>
          <w:sz w:val="20"/>
          <w:bdr w:val="single" w:sz="8" w:space="1" w:color="000000"/>
        </w:rPr>
        <w:t xml:space="preserve">. Such risks include, but are not limited to, the following risks with respect to the Company subsequent to the Business Combination: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Risks Related to New Eagles Business and Industry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an early-stage company with limited to no operating history upon which investors can evaluate our future prospects.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be dependent on additional financing to conduct our business plan. </w:t>
      </w:r>
      <w:r>
        <mc:AlternateContent>
          <mc:Choice Requires="wps">
            <w:drawing>
              <wp:anchor behindDoc="0" distT="635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not generated profits or revenues and do not expect to do so in the near term. </w:t>
      </w:r>
      <w:r>
        <mc:AlternateContent>
          <mc:Choice Requires="wps">
            <w:drawing>
              <wp:anchor behindDoc="0" distT="635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Volatility in uranium prices may adversely affect the economic viability of the Aurora Uranium Project and increase investor dilution. </w:t>
      </w:r>
      <w:r>
        <mc:AlternateContent>
          <mc:Choice Requires="wps">
            <w:drawing>
              <wp:anchor behindDoc="0" distT="635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is subject to risks inherent in mineral exploration and development activities. </w:t>
      </w:r>
      <w:r>
        <mc:AlternateContent>
          <mc:Choice Requires="wps">
            <w:drawing>
              <wp:anchor behindDoc="0" distT="635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 and our target customers operate in a politically sensitive environment, and public perception of nuclear energy can affect us and our target customers. </w:t>
      </w:r>
      <w:r>
        <mc:AlternateContent>
          <mc:Choice Requires="wps">
            <w:drawing>
              <wp:anchor behindDoc="0" distT="635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Intense competition in the mining and SMR markets could limit our ability to capture and retain market share. </w:t>
      </w:r>
      <w:r>
        <mc:AlternateContent>
          <mc:Choice Requires="wps">
            <w:drawing>
              <wp:anchor behindDoc="0" distT="635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Public acceptance of nuclear energy and competition from other energy sources is unknown. </w:t>
      </w:r>
      <w:r>
        <mc:AlternateContent>
          <mc:Choice Requires="wps">
            <w:drawing>
              <wp:anchor behindDoc="0" distT="635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Unfavorable media coverage of mining or nuclear energy could negatively affect our business. </w:t>
      </w:r>
      <w:r>
        <mc:AlternateContent>
          <mc:Choice Requires="wps">
            <w:drawing>
              <wp:anchor behindDoc="0" distT="635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Mining operations involve a high degree of risk. </w:t>
      </w:r>
      <w:r>
        <mc:AlternateContent>
          <mc:Choice Requires="wps">
            <w:drawing>
              <wp:anchor behindDoc="0" distT="635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Aurora Uranium Project is in the exploration stage, and there is no assurance that we can establish the existence of any mineral reserve in commercially exploitable quantities. Until then, we cannot earn any revenues from the Aurora Uranium Project, and its business could fail. </w:t>
      </w:r>
      <w:r>
        <mc:AlternateContent>
          <mc:Choice Requires="wps">
            <w:drawing>
              <wp:anchor behindDoc="0" distT="635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Mining and mineral exploration are inherently dangerous and subject to conditions or events beyond our control, which could have a material adverse effect on our business and plans. </w:t>
      </w:r>
      <w:r>
        <mc:AlternateContent>
          <mc:Choice Requires="wps">
            <w:drawing>
              <wp:anchor behindDoc="0" distT="635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Mining presents potential health risks, and payment of any liabilities arising from these health risks may adversely impact us. </w:t>
      </w:r>
      <w:r>
        <mc:AlternateContent>
          <mc:Choice Requires="wps">
            <w:drawing>
              <wp:anchor behindDoc="0" distT="635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cost of electricity generated from nuclear sources may not be cost competitive with other electricity generation sources in some markets, which could materially and adversely affect our business. </w:t>
      </w:r>
      <w:r>
        <mc:AlternateContent>
          <mc:Choice Requires="wps">
            <w:drawing>
              <wp:anchor behindDoc="0" distT="635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80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Loss of government incentives to use nuclear power may have an adverse impact on the market for SMRs. </w:t>
      </w:r>
      <w:r>
        <mc:AlternateContent>
          <mc:Choice Requires="wps">
            <w:drawing>
              <wp:anchor behindDoc="0" distT="0" distB="0" distL="254000" distR="0" simplePos="0" locked="0" layoutInCell="1" allowOverlap="1" relativeHeight="28">
                <wp:simplePos x="0" y="0"/>
                <wp:positionH relativeFrom="column">
                  <wp:align>left</wp:align>
                </wp:positionH>
                <wp:positionV relativeFrom="line">
                  <wp:posOffset>635</wp:posOffset>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market for SMRs generating nuclear power is not yet established and may not achieve the growth potential we expect or may grow more slowly than expected.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licensed SMR technology is at an early stage, may never achieve commercial viability, and loss of the license would terminate our ability to pursue this business.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depend entirely on a single license for our SMR technology platform.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SMR development remains conceptual and faces significant technical risk.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lack the manufacturing infrastructure to scale any future SMR prototype, and early production efforts may cause significant cost overruns and delays.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directors and executive management team may have conflicts of interest.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loss of key personnel, an inability to attract and retain additional personnel, or difficulties integrating new members of our management team could affect our ability to successfully grow our business.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demand for our uranium resources does not develop as expected, our projected revenues and profits will be adversely affected.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Russia’s invasion of Ukraine is severely and unpredictably impacting global energy markets and supply chains, and rising concerns over a second severe nuclear accident in Ukraine could seriously hurt public reception to nuclear energy.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Developments related to the ongoing wars between Russia and Ukraine, conflicts in the Middle East, economic instability in Venezuela, and the global response thereto, could adversely affect our business, financial condition and results of operations.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Risks Related to Our Organization and Structure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Anti-takeover effects of certain provisions of Nevada law and our Charter and Bylaws may hinder a potential takeover of us;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management team may not successfully or efficiently manage its transition to being a public company;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an “emerging growth company,” and our reduced SEC reporting requirements may make our shares less attractive to investors.;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Risks Related to an Investment in Our Securities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active market for our securities may not develop, which would adversely affect the liquidity and price of our securities.;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Failure to meet Nasdaq’s continued listing requirements could result in a delisting of our Common Stock and Public Warrants;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market price for our Common Stock may decline following the Business Combination;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Common Stock price may fluctuate and you could lose all or part of your investment as a result;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New Eagle shareholders may experience dilution in the future;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There is no guarantee that the Warrants will ever be in the money; they may expire worthless or the terms of Warrants may be amended; and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future exercise of registration rights may adversely affect the market price of the Common Stock.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5470 Kietzke Lane, Suite 300, Reno, NV 89511, and our telephone number is (775) 335-2029. Our corporate website is </w:t>
      </w:r>
      <w:r>
        <w:rPr>
          <w:rFonts w:ascii="Times New Roman;Times;serif" w:hAnsi="Times New Roman;Times;serif"/>
          <w:b w:val="false"/>
          <w:i/>
          <w:caps w:val="false"/>
          <w:smallCaps w:val="false"/>
          <w:color w:val="000000"/>
          <w:spacing w:val="4"/>
          <w:sz w:val="20"/>
          <w:bdr w:val="single" w:sz="8" w:space="1" w:color="000000"/>
        </w:rPr>
        <w:t>https://eaglenuclear.com</w:t>
      </w:r>
      <w:r>
        <w:rPr>
          <w:rFonts w:ascii="Times New Roman;Times;serif" w:hAnsi="Times New Roman;Times;serif"/>
          <w:b w:val="false"/>
          <w:i w:val="false"/>
          <w:caps w:val="false"/>
          <w:smallCaps w:val="false"/>
          <w:color w:val="000000"/>
          <w:spacing w:val="4"/>
          <w:sz w:val="20"/>
          <w:bdr w:val="single" w:sz="8" w:space="1" w:color="000000"/>
        </w:rPr>
        <w:t xml:space="preserve">. Information contained on our website or connected thereto does not constitute part of, and is not incorporated by reference into, this prospectus.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THO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40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Eagle Nuclear Energy Corp.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Offered by us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29,361,133 shares of Common Stock, consisting of (i) 23,422,133 shares of Common Stock issuable upon the exercise of Warrants and (ii) 5,940,000 shares of Common Stock issuable upon the conversion of the Preferred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Shares Offered by the Selling Securityholders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30,688,995 shares of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Warrants Offered by the Selling Securityholders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11,922,133 Warrants.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Exercise Price of Warrants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exercise price of the Public Warrants and Private Warrants is $11.50 per share, subject to adjustment as defined herein. The exercise price of the PIPE Warrants is $12.00 per share, subject to adjustment as defined herein.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Outstanding Prior to Exercise of All Warrants as of April 22, 2026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29,579,313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Outstanding Assuming Exercise of All Warrants as of April 22, 2026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53,001,446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will not receive any proceeds from the sale of Common Shares or Warrants by the Selling Securityholders. We would receive up to an aggregate of approximately $270.6 million from the exercise of the warrants, assuming the exercise in full of all of such warrants for cash, however, it is not certain how many warrants would be exercised for cash or if at all. We expect to use the net proceeds from the exercise of any warrants for general corporate purposes. We believe the likelihood that Warrant holders will exercise their Warrants, and therefore the amount of cash proceeds that we would receive is, among other things, dependent upon the market price of our Class A ordinary shares. If the market price for our Class A ordinary shares is less than the exercise price of $11.50 (or in the case of the PIPE Warrants, $12.00), we believe such holders will be unlikely to exercise their Warrants. See “</w:t>
      </w:r>
      <w:r>
        <w:rPr>
          <w:rFonts w:ascii="Times New Roman;Times;serif" w:hAnsi="Times New Roman;Times;serif"/>
          <w:b w:val="false"/>
          <w:i/>
          <w:caps w:val="false"/>
          <w:smallCaps w:val="false"/>
          <w:color w:val="000000"/>
          <w:spacing w:val="4"/>
          <w:sz w:val="20"/>
          <w:bdr w:val="single" w:sz="8" w:space="1" w:color="000000"/>
        </w:rPr>
        <w:t>Use of Proceeds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Market for Common Stock and Public Warrants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Common Stock and our Public Warrants are listed on the Nasdaq Capital Market under the symbols “NUCL” and “NUCLW,” respectively.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Any investment in the securities offered hereby is speculative and involves a high degree of risk. You should carefully consider the information set forth under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and elsewhere in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this prospectus, unless otherwise indicated, the number of shares of Common Shares outstanding as of April 22, 2026 and the other information based thereon: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Does not reflect 4,437,008 shares of Common Stock reserved for issuance under our New Eagle Equity Plan; and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Does not reflect the exercise of Warrants to purchase up to 23,422,133 shares of Common Stock.</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carefully consider all the following risk factors, together with all of the other information included or incorporated by reference in this prospectus, including the consolidated financial statements and the accompanying notes and matters addressed in the section titled “Cautionary Note Regarding Forward-Looking Statements,” in evaluating an investment in the Common Stock or Warrants. The following risk factors apply to the business and operations of New Eagle and its consolidated subsidiaries. The occurrence of one or more of the events or circumstances described in these risk factors, alone or in combination with other events or circumstances, may adversely affect the ability to realize the anticipated benefits of the Business Combination and may have an adverse effect on the business, cash flows, financial condition and results of operations of New Eagle following the consummation of the Business Combination. We may face additional risks and uncertainties that are not presently known to us or that we currently deem immaterial, which may also impair our business, cash flows, financial condition and results of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Business and Industry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an early-stage company with limited to no operating history upon which investors can evaluate our future prospects.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early-stage company engaged in both uranium exploration and development and small modular reactor (SMR) technology development, and we have limited to no operating history upon which investors can evaluate our future prospects. Our uranium development business is in our formative stages, and we have not yet established a track record of commercial operations, revenue generation, or sustained profitability. Similarly, our SMR business line is at a conceptual stage, with no working prototype constructed and no demonstrated commercial-scale performance. As a result, our business and prospects must be considered in light of the significant problems, delays, uncertainties, and complications typically encountered by newly established businesses and by companies developing unproven technologies.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lack of operating history in both our mining and SMR business lines makes it difficult to evaluate our current business plan, performance, and future prospects. Our management has little basis on which to forecast future success, and our current and future expense levels are based largely on estimates of planned operations and anticipated revenues rather than actual experience. We face the risk that our competitors, many of whom have established operations, proven technologies, and greater resources, will perform better than us in the relevant markets. There are no assurances that we can successfully address the challenges inherent in early-stage mining or in the commercialization of SMR technology.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we have not yet demonstrated the ability to operate profitably or at commercial scale in either business line, there is substantial uncertainty regarding our ability to achieve or sustain profitability. Our business, financial condition, and operating results could be materially and adversely affected if we are unable to overcome the obstacles associated with our limited operating history and the early-stage nature of our technologies. Investors should be aware that our future success is highly uncertain and dependent on our ability to execute our business strategies, secure adequate funding, and achieve technical and commercial milestones in both uranium mining and SMR development.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dependent on additional financing to conduct our business plan.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our uranium and small modular reactor (SMR) business lines will require significant and ongoing investment to support their respective development, exploration, and commercialization activities. As an early-stage company with limited operating history and no current revenues, we are highly dependent on our ability to attract and retain consistent sources of external funding to advance our projects and execute our business strategies.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date, we have devoted most of our financial resources to the acquisition and development of our mining assets and to the initial acquisition of our SMR technology. The capital requirements for both business lines are substantial and are expected to increase as we progresses through exploration, permitting, engineering, regulatory compliance, infrastructure buildout, and, in the case of SMRs, advanced research, prototyping, and potential commercialization. Our current and future expense levels are based largely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planned operations and anticipated future revenues, rather than on actual experience or established revenue streams.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date, we have not generated any material revenue, and do not expect to generate material revenue for the foreseeable future while we have substantial overhead expenses. We do not expect to generate meaningful revenue unless and until we bring the Aurora Uranium Project from our current exploration stage into commercial production, or are able to finalize development of and commercialize our SMR technology and related services, and we may not be able to do so on our anticipated timetable, if at all. We expect our expenses and capital expenditures to increase in connection with our ongoing activities, including developing and advancing our SMR technology and other products and services, obtaining Nuclear Regulatory Commission (NRC) design certification of and standard design approval (SDA) for our SMR technology and completing our manufacturing preparation and trials. We also expects to incur additional costs associated with operating as a public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recently raised $29,700,000 from PIPE Financing and had gross receipts of $1,939,457 from the completion of the Business Combination with SVII, we may require additional financing to execute on our business plans in the future. There is no assurance that future financing will be available, or that, if available, we will be on acceptable terms. Our failure to raise capital as and when needed could have a negative impact on our financial condition and our ability to pursue our business strategies. Moreover, any additional financing could impose undue restrictions on operations in the case of debt financing or result in substantial dilution for shareholders in the case of equity financing.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unable to obtain the necessary capital to fund our ongoing operations and planned growth, our business, prospects, financial condition, and results of operations could be materially and adversely affected across both our mining and SMR business lines.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not generated profits or revenues, and does not expect to do so in the near term. As a result, our ability to curtail future losses and reach sustained profitability is unproven, and we may never achieve or sustain profitability.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had minimal cash as of November 30, 2025, and had a net loss for the year ended November 30, 2025 and for the three months ended February 28, 2026. As of November 30, 2025 and February 28, 2026, our net cash was $1,301,928 and $31,292,822, respectively, and our net loss attributable to common stockholders was $5,260,632 and $1,504,430, respectively. To date, we have devoted most of our financial resources to the acquisition of our interest in the Aurora Uranium Project and payments to our consultants and service providers. Because of the numerous risks and uncertainties associated with our industry, we are unable to accurately predict the timing or amount of increased expenses or when or if we will be able to maintain profitability. We expect to incur increased expenses as it continues the exploration and development of our assets. If any of the jurisdictions in which we operate pass laws that regulate exploration and development of mining assets, particularly those prospective for uranium and other energy metals, then we will likely see an increase in our expenses due to our attempts to comply with those regulations. We also expects an increase in our expenses associated with creating additional infrastructure (including hiring additional personnel) to explore and develop our assets. As a result, we may incur net losses and negative cash flows for the foreseeable future. These net losses and negative cash flows may have an adverse effect on our shareholders’ equity and working capital. We do not expect to generate any revenue or achieve profitability in the near term.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uranium exploration and development business is entirely dependent on the successful ownership and control of the Aurora Uranium Project.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strategy and prospects are highly dependent on the Aurora Uranium Project, which we now own and control following the closing of the Aurora Option Agreement. Although the transaction has been completed, our ability to execute our business plan remains substantially dependent on the successful advancement of the Aurora Uranium Project. We currently have no other uranium exploration or development projects, and the Aurora Uranium Project represents our principal asset.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any adverse developments affecting the Aurora Uranium Project, or our inability to advance the project toward commercial production, would materially impair our ability to execute our business strategy.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developments could significantly compromise our operational capacity, undermine our value, and adversely affect our financial condition, results of operations, and future viability.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Volatility in uranium prices may adversely affect the economic viability of the Aurora Uranium Project and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Uranium prices are volatile and subject to factors beyond our control, including global supply and demand conditions, geopolitical events, government policies affecting nuclear energy, and broader commodities market trends. Sustained declines or significant fluctuations in uranium prices could adversely affect the economic viability of the Aurora Uranium Project or delay or limit its development. Price volatility may also make it difficult to forecast project economics and plan development activities. Any of these factors could materially and adversely affect our business, financial condition, results of operations, and future prospects.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operate in a competitive and rapidly changing industry, which makes it difficult to evaluate our business and prospects.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mining and energy metals market through which we intend to derive our revenue is a rapidly evolving industry. The growth of this market is subject to a high degree of uncertainty. Our future operating results will depend on numerous factors affecting the industry, many of which are beyond our control, including: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Fluctuations in Commodity Prices:</w:t>
      </w:r>
      <w:r>
        <w:rPr>
          <w:rFonts w:ascii="Times New Roman;Times;serif" w:hAnsi="Times New Roman;Times;serif"/>
          <w:b w:val="false"/>
          <w:i w:val="false"/>
          <w:caps w:val="false"/>
          <w:smallCaps w:val="false"/>
          <w:color w:val="000000"/>
          <w:spacing w:val="4"/>
          <w:sz w:val="20"/>
        </w:rPr>
        <w:t xml:space="preserve">   Volatile prices for uranium and other energy metals can significantly impact revenue, profitability, and ability to fund ongoing and future projects; </w:t>
      </w:r>
      <w:r>
        <mc:AlternateContent>
          <mc:Choice Requires="wps">
            <w:drawing>
              <wp:anchor behindDoc="0" distT="7747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Regulatory Restrictions</w:t>
      </w:r>
      <w:r>
        <w:rPr>
          <w:rFonts w:ascii="Times New Roman;Times;serif" w:hAnsi="Times New Roman;Times;serif"/>
          <w:b w:val="false"/>
          <w:i w:val="false"/>
          <w:caps w:val="false"/>
          <w:smallCaps w:val="false"/>
          <w:color w:val="000000"/>
          <w:spacing w:val="4"/>
          <w:sz w:val="20"/>
        </w:rPr>
        <w:t xml:space="preserve">:   Regulatory agencies, national and local governments, and municipalities may restrict our ability to operate at the level at which our desires to operate, or at all; and </w:t>
      </w:r>
      <w:r>
        <mc:AlternateContent>
          <mc:Choice Requires="wps">
            <w:drawing>
              <wp:anchor behindDoc="0" distT="7747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 Economic Conditions</w:t>
      </w:r>
      <w:r>
        <w:rPr>
          <w:rFonts w:ascii="Times New Roman;Times;serif" w:hAnsi="Times New Roman;Times;serif"/>
          <w:b w:val="false"/>
          <w:i w:val="false"/>
          <w:caps w:val="false"/>
          <w:smallCaps w:val="false"/>
          <w:color w:val="000000"/>
          <w:spacing w:val="4"/>
          <w:sz w:val="20"/>
        </w:rPr>
        <w:t xml:space="preserve">:   Broader economic factors, such as recession, inflation, and changes in interest rates, can affect investor confidence, capital availability, and overall demand for our products. </w:t>
      </w:r>
      <w:r>
        <mc:AlternateContent>
          <mc:Choice Requires="wps">
            <w:drawing>
              <wp:anchor behindDoc="0" distT="7747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plan for development will be significantly affected by our ability to anticipate and adapt to relatively rapid changes in the tastes and preferences of potential customers. In addition, we may be restricted from operating our business due to public health and safety measures implemented in response to future pandemics or unforeseen disasters, including war. Furthermore, from time to time, we may re-evaluate the market in which our operates and the performance of our current business model, and we may in the future discontinue operations in certain markets as a result of such evaluations.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business is subject to risks inherent in mineral exploration and development activities.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risks normally encountered by companies in the mineral exploration and development industry. These risks include, but are not limited to: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discovery of unusual or unexpected geological formations during exploration or drilling programs; </w:t>
      </w:r>
      <w:r>
        <mc:AlternateContent>
          <mc:Choice Requires="wps">
            <w:drawing>
              <wp:anchor behindDoc="0" distT="7747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Accidental fires, floods, earthquakes, or other natural disasters in Malheur County’s high desert environment; </w:t>
      </w:r>
      <w:r>
        <mc:AlternateContent>
          <mc:Choice Requires="wps">
            <w:drawing>
              <wp:anchor behindDoc="0" distT="7747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Unplanned power outages, water shortages, or equipment failures affecting field activities;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Challenges in controlling water inflows or other hazards during exploratory drilling;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disruptions, disputes, or difficulties securing skilled personnel for specialized uranium exploration;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Delays in obtaining machinery, equipment, or permits required for continued exploration and development;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Liability for potential environmental impacts, even during exploration, under Oregon’s regulatory framework; and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known and unknown risks inherent in exploring and developing uranium projects, including fluctuations in uranium markets, regulatory changes, and stakeholder opposition.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exploration and development of mineral properties is affected by many factors, including, but not limited to: the cost of operations; variations in the grade of mineralized material; fluctuations in metal markets; costs of extraction and processing equipment; availability of equipment and labor; labor costs and possible labor strikes; government regulations, including without limitation, regulations relating to taxes, royalties, allowable extraction or production, and importing and exporting of minerals; government actions, including without limitation the establishment or expansion of mineral withdrawals, parks and monuments; land exchanges; foreign exchange; employment; worker safety; transportation; and environmental protection.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and our target customers operate in a politically sensitive environment, and the public perception of nuclear energy can affect us and our target customers.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associated with radioactive materials and the public perception of those risks can affect our business. Opposition by third parties can delay or prevent the construction of new nuclear power plants and can limit the operation of nuclear reactors. Adverse public reaction to developments in the use of nuclear power could directly affect our customers and indirectly affect our business. In the past, adverse public reaction, increased regulatory scrutiny and litigation have contributed to extended construction periods for new nuclear reactors, sometimes delaying construction schedules by decades or more or even shutting down operations. In addition, anti-nuclear groups in Germany successfully lobbied for the adoption of the Nuclear Exit Law in 2002, under which all remaining nuclear power plants in Germany were shut down in April 2023. Similar anti-nuclear groups and non-governmental organizations are active in the United States and may be successful in lobbying domestic governments to restrict the use of nuclear energy. Adverse public reaction could also lead to increased regulation or limitations on the activities of our customers, more onerous operating requirements or other conditions that could have a material adverse impact on our customers and our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public perception of nuclear safety and viability can also influence the willingness of investors and financial institutions to fund nuclear projects. Negative public sentiment can increase financing costs and make it more difficult to secure the necessary capital. However, public preferences for energy sources can influence the demand for nuclear energy. A positive perception of nuclear power as a clean and reliable energy source can boost our market appeal.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Accidents involving nuclear power facilities, including but not limited to events like the Three Mile Island, Chernobyl and Fukushima Daiichi nuclear accidents, or terrorist acts or other high-profile events involving radioactive materials could materially and adversely affect our target customers and the markets in which it operates and increase regulatory requirements and costs that could materially and adversely affect our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prospects are dependent upon a certain level of public support for nuclear power. Nuclear power faces strong opposition from certain competitive energy sources, individuals and organizations. The accident that occurred at the Fukushima nuclear power plant in Japan in 2011 increased public opposition to nuclear power in some countries, resulting in a slowdown in, or, in some cases, a complete halt to new construction of nuclear power plants, an early shut down of existing power plants or a dampening of the favorable regulatory climate needed to introduce new nuclear technologies, all of which could negatively impact our business and prospects. As a result of the Fukushima accident, some countries that were considering launching new domestic nuclear power programs delayed or cancelled the preparatory activities they were planning to undertake as part of such programs. If accidents similar to the Fukushima disaster or other events, such as terrorist attacks involving nuclear facilities, occur, public opposition to nuclear power may increase, regulatory requirements and costs could become more onerous, and customer demand for our products could suffer, which could materially and adversely affect our business and operations.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Intense competition in the mining and SMR markets could limit our ability to capture and retain market share.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our energy metals mining and SMR businesses face industries crowded with entrenched incumbents and well-funded new entrants that command deep technical knowledge, robust supply chains, and proprietary technologies. Competitors routinely deploy substantial financial and human capital to secure prime resource deposits, advance alternative reactor designs, and negotiate favorable offtake and power-purchase agreements. Their scale and first-mover advantages enable aggressive pricing, rapid innovation, and the recruitment of key talent, leaving us with fewer strategic opportunities. If we fail to match their pace of development or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differentiate our offerings, we could experience reduced sales opportunities, unfavorable pricing dynamics, and compressed margins, any of which could materially and adversely affect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Public acceptance of nuclear energy and competition from other energy sources is unknown.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Growth of the uranium and nuclear industry will depend upon continued and increased acceptance of nuclear technology as an economic means of generating electricity. Because of unique political, technological and environmental factors that affect the nuclear industry, including the risk of a nuclear incident and fears of nuclear incidents in the event of terrorism, wars, insurrections or natural disasters, the industry is subject to public opinion risks that could have an adverse impact on the demand for nuclear power and increase the regulation of the nuclear power industry. Nuclear energy competes with other sources of energy, including oil, natural gas, coal, hydroelectricity and renewable energy sources. These other energy sources are to some extent interchangeable with nuclear energy, particularly over the longer term. Sustained lower prices of oil, natural gas, coal and hydroelectricity may result in lower demand for uranium concentrations. Increased government regulation and technical requirements may make nuclear energy uneconomic, resulting in lower demand for uranium concentrates. Technical advancements and government subsidies in renewable and other alternate forms of energy, such as wind and solar power, could make these forms of energy more commercially viable and put additional pressure on the demand for uranium concentrates.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Unfavorable media coverage of mining or nuclear energy could negatively affect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future, our proposed operations and activities may subject us to media coverage relating to mining and the production of uranium and other forms of nuclear energy, some of which can be inaccurate, non-objective or politically motivated. As a result, we may frequently need to address or respond to such media coverage, which can be costly and time-consuming. Such inaccurate and non-objective media coverage can also negatively impact public perception of our business activities, the market for our securities, government relations, permitting activities and legal challenges. Further, given the controversial nature of the mining and nuclear industries, we may be subject to the risk that suppliers, customers, co-venturers or other business relations may be discouraged from or decline to continue commercial relations with or enter into new commercial relations or arrangements due to fear of reprisals from the media, public or special interest groups based on public perceptions of the nature of our business or the nature or location of the Aurora Uranium Project, particularly driven by the ability of the media, public and special interest groups to influence public perceptions through the media, social media and the internet.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Mining operations involve a high degree of risk.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exploration, construction, development, operation and other activities associated with mineral projects, along with the expansion of existing recovery operations and mining activities and restarting of projects, involve significant risks, including financial, technical and regulatory risks. The development or advancement of the Aurora Uranium Project is contingent upon obtaining satisfactory exploration results, project permitting and licensing and financing. The exploration, construction, development, operation and other activities associated with mineral projects involve significant financial risks over an extended period of time, which even a combination of careful evaluation, experience and knowledge may not eliminate. While discovery of a mine or other facility may result in substantial value, few properties that are staked and explored are ultimately developed into producing mines or extraction or recovery facilities. Major expenses may be required to establish mineral resources and mineral reserves by drilling and to finance, permit, license and construct extraction, mining, recovery and processing facilities. It is impossible to ensure that the current or proposed exploration, permitting, construction and development programs on the Aurora Uranium Project will result in profitable commercial extraction, mining or recovery operations.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 mineral deposit will be commercially viable depends on a number of factors, which include, among other things: the accuracy of estimates; the particular attributes of the deposit, such as our size, geology, grade and accessibility; the ability to economically recover commercial quantities of the minerals; proximity to necessary infrastructure and availability of personnel; financing costs; governmental regulations, including regulations relating to prices, taxes, reclamation bonds and royalties; the potential for litigation; land use; importing and exporting; and environmental and cultural protection, including but not limited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governmental establishment of mineral withdrawals, parks and monuments and land exchanges. The construction, development, expansion and restarting of projects like the Aurora Uranium Project are also subject to: the successful completion of engineering studies with adequate results to proceed; the issuance of necessary governmental licenses and permits; the availability of adequate financing; engineering and construction timetables and capital costs being correctly estimated for our projects, including restarting projects on standby; and such construction timetables and capital costs not being affected by unforeseen circumstances, including but not limited to delays due to litigation/injunctions. The effect of these factors cannot be accurately predicted, but the combination of these factors, along with others, may result in us not receiving an adequate return on invested capital.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possible that actual costs and economic returns of future extraction of uranium at the Aurora Uranium Project may differ materially from our best estimates. It is not unusual in the mining industry for new mining operations and facilities to experience unexpected problems during the start-up phase, to take much longer than originally anticipated to bring them into a recovery or producing phase, to require more capital than anticipated, to operate at a higher cost than expected and/or to have reclamation liabilities that are higher than expected.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Opposition to mining may disrupt our business activities.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recent years, governmental agencies, non-governmental organizations, individuals, communities and courts have become more vocal and active with respect to their opposition of certain mining and business activities. This opposition may take on forms such as road blockades, vandalism, threats and/or slander, applications for injunctions seeking to cease certain construction, development, extraction, mining and/or milling or recovery activities, refusals to grant access to lands or to sell lands on commercially viable terms, lawsuits for damages or to revoke or modify licenses and permits, issuances of unfavorable laws and regulations, changes in regulatory attitudes and interpretations and other rulings contrary to or otherwise harming our interests. These actions can occur in response to current activities or in respect of mines or facilities that are decades old. In addition, these actions can occur in response to our activities or the activities of other unrelated entities. Opposition to our activities may also result from general opposition to nuclear energy and mining. Opposition to our proposed operations and business activities is beyond our control. Any opposition to our proposed operations or business activities may cause disruptions and may result in increased costs and delays, which could have a material adverse effect on our business and financial condition.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Aurora Uranium Project is in the exploration stage. There is no assurance that we can establish the existence of any mineral reserve from the Aurora Uranium Project in commercially exploitable quantities. Until then, we cannot earn any revenues from the Aurora Uranium Project, and our business could fail.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established that the Aurora Uranium Project contains any commercially exploitable quantities of mineral reserve, nor can there be any assurance that we will be able to do so. The probability of the Aurora Uranium Project ever having a commercially exploitable mineral reserve that meets the requirements of the SEC may be remote. Even if we do eventually discover commercially exploitable quantities of mineral reserve on the Aurora Uranium Project, there can be no assurance that it can be developed into a producing mine and extract those minerals. Both mineral exploration and development involve a high degree of risk and few properties, which are explored, are ultimately developed into producing mines.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commercial viability of an established mineral deposit will depend on a number of factors including, by way of example, the size, grade and other attributes of the mineral deposit, the proximity of the deposit to infrastructure such as a smelter, roads and a point for shipping, government regulation and market prices. Most of these factors will be beyond our control, and any of them could increase costs and make extraction of any identified mineral deposit unprofitable.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commercial viability of a mineral deposits are established, it may take several years until production is possible, during which time the economic feasibility of production may change. Substantial expenditures are required to establish proven and probable reserves through sampling, to determine the optimal metallurgical process to extract the metals from the tailings and, in the case of new properties, to construct processing facilities. Because of these uncertainties, no assurance can be given that our exploration programs will result in the establishment or expansion of a mineral deposit or reserves.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Aurora Uranium Project is a high-risk project, and investors should not make an investment in us unless you have the ability to lose your entire investment.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exploration and development activities may not be commercially successful.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long-term success depends on our ability to identify mineral reserves in the Aurora Uranium Project or other properties we may acquire that we can then develop into commercially viable processing operations. There is no assurance that the Aurora Uranium Project contains commercially exploitable minerals. Moreover, mineral exploration and development is highly speculative in nature, involves many risks and is frequently non-productive. The inability to obtain suitable or adequate machinery, equipment or labor are risks involved in the conduct of exploration and development programs. The success of mineral exploration and development is determined in part by the following factors: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identification of potential mineralization based on analysis;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permits; </w:t>
      </w:r>
      <w:r>
        <mc:AlternateContent>
          <mc:Choice Requires="wps">
            <w:drawing>
              <wp:anchor behindDoc="0" distT="7747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quality of our management and it geological and technical expertise; and </w:t>
      </w:r>
      <w:r>
        <mc:AlternateContent>
          <mc:Choice Requires="wps">
            <w:drawing>
              <wp:anchor behindDoc="0" distT="7747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available for exploration.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Substantial expenditures and time are required to establish existing proven and probable reserves through analysis, and to develop the processing facilities and infrastructure at any site chosen for processing. Whether a mineral deposits will be commercially viable depends on a number of factors, which include, without limitation, the particular attributes of the deposit, such as size, grade and proximity to infrastructure; metal prices, which fluctuate widely; and government regulations, including, without limitation, regulations relating to prices, taxes, royalties, land tenure, land use, allowable production, importing and exporting of minerals and environmental protection. Any one or a combination of these factors may result in you not receiving an adequate return on your investment in us or any other mineral project we may pursue. The decision to abandon a project will have an adverse effect on the market value of our securities and our ability to raise future financing.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Mining and mineral exploration is inherently dangerous and subject to conditions or events beyond our control, which could have a material adverse effect on our business and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Mining and mineral exploration involves various types of risks and hazards, including: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hazards;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power outages;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metallurgical and other processing problems;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personal injury, flooding, fire, explosions, cave-ins, landslides and rock-bursts;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obtain suitable or adequate machinery, equipment, or labor;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metals losses;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exploration, development and production costs;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disputes;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unanticipated variations in grade;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mechanical equipment failure; and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 interruptions due to inclement or hazardous weather conditions.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risks could result in damage to, or destruction of, the Aurora Uranium Project, production facilities or other properties, personal injury, environmental damage, delays in mining, increased production costs, monetary losses and possible legal liability. We may not be able to obtain insurance to cover these risks at economically feasible premiums. Insurance against certain environmental risks, including potential liability for pollution or other hazards as a result of the disposal of waste products occurring from production,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prohibitively expensive. We may suffer a material adverse effect on our business if not covered by insurance policies. We operations may contain significant uninsured risks which could negatively impact future profitability.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exploration of the Aurora Uranium Project contains and will contain certain risks, including unexpected or unusual operating conditions. It is not always possible to insure against these risks. Should events such as these arise, they could reduce or eliminate your investment in us as well as result in increased costs and a decline in the value of your investment.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Mineral operations are subject to market forces outside of our control which could negatively impact our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marketability of minerals is affected by numerous factors beyond our control including market fluctuations, government regulations relating to prices, taxes, royalties, allowable production, imports, exports and supply and demand. One or more of these risk elements could have an impact on the costs of our operations and, if significant enough, could impact your investment.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obtain and renew permits, mine plan modifications and approvals, leases or other rights necessary for our operations, which would reduce our production, cash flows and profitability.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Mining companies must obtain numerous regulatory permits that impose strict conditions on various environmental and safety matters. The permitting rules are complex and change over time, potentially in ways that may make our ability to comply with the applicable requirements more difficult or impractical or even preclude the continuation of ongoing operations or the development of future mining operations. The public, including special interest groups, Tribal groups, and individuals, have certain rights under various statutes to comment upon, submit objections to and otherwise engage in the permitting process, including bringing citizens’ lawsuits or administrative actions to challenge permits or mining activities. Oregon is an Agreement State under the Agreement State Program with the NRC. Through the Agreement State Program as well as Oregon’s consolidated mine permitting process, we will need to continue to navigate permitting processes through different agencies at the local, state, federal and Tribal levels. For example, operations that could potentially impact surface or groundwater are required to obtain permits through state and federal agencies that regulate water resources. The same is true of potential air impacts, impacts to ecological resources, such as wetlands, and impacts to cultural resources. Additionally, mine sites that are located on federal lands are required to follow federal National Environmental Protection Act (“NEPA”) regulations. Thus, past or ongoing violations of federal and state mining laws by us or by mining operations owned or controlled by our significant stockholders, directors or officers could provide a basis to revoke existing permits and to deny the issuance of additional permits or modification or amendment of existing permits. This is known as being “permit-blocked.” In recent years, the permitting required for coal mining has been the subject of increasingly stringent regulatory and administrative requirements and extensive litigation by environmental groups.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the permitting process is costly and time-consuming, required permits may not be issued or renewed in a timely fashion (or at all), and permits that are issued may be conditioned in a manner that may restrict our ability to conduct our mining activities efficiently. In some circumstances, regulators could seek to revoke permits previously issued. We are required under certain permits to provide data on the impact on the environment of proposed exploration for or production of coal to governmental authorities.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changes or challenges to the permitting and mine plan modification and approval process could cause additional increases in the costs, time, and difficulty associated with obtaining and complying with the permits, and could delay or prevent commencing or continuing exploration or production operations, and as a result, adversely affect our production, cash flows and profitability.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Regulations and pending legislation governing issues involving climate change could result in increased operating costs, which could have a material adverse effect on us as well as any other business in which we engage.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governments or governmental bodies have introduced or are contemplating regulatory changes in response to various climate change interest groups and the potential impact of climate change. Legislation and increased regulation regarding climate change could impose significant costs on us and our suppliers, including costs related to increased energy requirements, capital equipment, environmental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monitoring and reporting and other costs to comply with such regulations. Any adopted future climate change regulations could also negatively impact the ability to compete with companies situated in areas not subject to such limitations. Given the emotion, political significance and uncertainty around the impact of climate change and how it should be dealt with, we cannot predict how legislation and regulation will affect our financial condition, operating performance and ability to compete. Furthermore, even without such regulation, increased awareness and any adverse publicity in the global marketplace about potential impacts on climate change by us or other companies in our industry could harm our reputation. The potential physical impacts of climate change on our operations are highly uncertain and would be particular to the geographic circumstances in areas in which we operate. These may include changes in rainfall and storm patterns and intensities, water shortages, changing sea levels and changing temperatures. These impacts may adversely impact the cost, production and financial performance of our operations or any other mineral projects we may pursue.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exploration and development activities are subject to environmental risks, which could expose us to significant liability and result in the delay, suspension or termination of our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exploration, future development and production phases of our business will be subject to federal, state and local environmental regulation. These regulations mandate, among other things, the maintenance of air and water quality standards and land reclamation. They also set out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and a heightened degree of responsibility for companies and their officers, directors and employees. Future changes in environmental regulations may adversely affect our operations. If we fail to comply with any of the applicable environmental laws, regulations or permit requirements, we could face regulatory or judicial sanctions. Penalties imposed by either the courts or administrative bodies could delay or stop operations or require a considerable capital expenditure. Although we intend to comply with all environmental laws and permitting obligations in conducting our business, there is a possibility that those opposed to exploration and mining will attempt to interfere with our operations, whether by legal process, regulatory process or otherwise.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hazards unknown to Eagle, which have been caused by previous or existing owners or operators of the properties, may exist on the properties comprising the Aurora Uranium Project. It is possible that these properties could be located on or near the site of a Federal Superfund cleanup project; as such, it is possible that environmental cleanup or other environmental restoration procedures could remain to be completed or mandated by law, causing unpredictable and unexpected liabilities to arise. The Comprehensive Environmental, Response, Compensation, and Liability Act (“CERCLA”), and comparable state statutes, impose strict, joint and several liability on current and former owners and operators of sites and on persons who disposed of or arranged for the disposal of hazardous substances found at such sites. It is not uncommon for the government to file claims requiring cleanup actions, demands for reimbursement for government-incurred cleanup costs, or natural resource damages, or for neighboring landowners and other third parties to file claims for personal injury and property damage allegedly caused by hazardous substances released into the environment. The Federal Resource Conservation and Recovery Act (“RCRA”), and comparable state statutes, govern the disposal of solid waste and hazardous waste and authorize the imposition of substantial fines and penalties for noncompliance, as well as requirements for corrective actions. CERCLA, RCRA and comparable state statutes can impose liability for clean-up of sites and disposal of substances found on exploration, mining and processing sites long after activities on such sites have been completed.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Clean Air Act restricts the emission of air pollutants from many sources, including mining and processing activities. Our processing operations may produce air emissions, including fugitive dust and other air pollutants from stationary equipment, storage facilities and the use of mobile sources such as trucks and heavy construction equipment, which are subject to review, monitoring and/or control requirements under the Clean Air Act and state air quality laws. New facilities may be required to obtain permits before work can begin, and existing facilities may be required to incur capital costs in order to remain in compliance. In addition, permitting rules may impose limitations on our production levels or result in additional capital expenditures in order to comply with the rules.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National Environmental Policy Act (“NEPA”) requires federal agencies to integrate environmental considerations into their decision-making processes by evaluating the environmental impacts of their proposed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including issuance of permits to mining facilities, and assessing alternatives to those actions. If a proposed action could significantly affect the environment, the agency must prepare a detailed statement known as an Environmental Impact Statement (“EIS”). The U.S. Environmental Protection Agency (“EPA”), other federal agencies, and any interested third parties will review and comment on the scoping of the EIS and the adequacy of and findings set forth in the draft and final EIS. This process can cause delays in issuance of required permits or result in changes to a project to mitigate our potential environmental impacts, which can in turn impact the economic feasibility of a proposed project.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Clean Water Act (“CWA”), and comparable state statutes, imposes restrictions and controls on the discharge of pollutants into waters of the United States. The discharge of pollutants into regulated waters is prohibited, except in accordance with the terms of a permit issued by the EPA or an analogous state agency. The CWA regulates storm water mining facilities and requires a storm water discharge permit for certain activities. Such a permit requires the regulated facility to monitor and sample storm water run-off from our operations. The CWA and regulations implemented thereunder also prohibit discharges of dredged and fill material in wetlands and other waters of the United States unless authorized by an appropriately issued permit. The CWA and comparable state statutes provide for civil, criminal and administrative penalties for unauthorized discharges of pollutants and impose liability on parties responsible for those discharges for the costs of cleaning up any environmental damage caused by the release and for natural resource damages resulting from the release.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Safe Drinking Water Act (“SDWA”) and the Underground Injection Control (“UIC”) program promulgated thereunder, regulate the drilling and operation of subsurface injection wells. EPA directly administers the UIC program in some states and in others the responsibility for the program has been delegated to the state. The program requires that a permit be obtained before drilling a disposal or injection well. Violation of these regulations and/or contamination of groundwater by mining related activities may result in fines, penalties, and remediation costs, among other sanctions and liabilities under the SDWA and state laws. In addition, third party claims may be filed by landowners and other parties claiming damages for alternative water supplies, property damages, and bodily injury.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could be subject to environmental lawsuits.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Neighboring landowners and other third parties could file claims based on environmental statutes and common law for personal injury and property damage allegedly caused by the release of hazardous substances or other waste material into the environment on or around the Aurora Uranium Project.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Mining presents potential health risks; payment of any liabilities that arise from these health risks may adversely impact Eagle.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Complying with health and safety standards will require additional expenditure on testing and the installation of safety equipment. Moreover, inhalation of certain minerals can result in specific potential health risks. Symptoms of these associated diseases may take years to manifest. Failure to comply with health and safety standards could result in statutory penalties and civil liability. We do not currently maintain any insurance coverage against these health risks. The payment of any liabilities that arise from any such occurrences could have a material, adverse impact on us.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Mining, extraction, recovery, processing, construction, development and exploration activities depend, to a substantial degree, on adequate infrastructure.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Reliable roads, bridges, power sources and water supply are important determinants affecting capital and operating costs. While there is existing infrastructure at the Aurora Uranium Project, including public roads and a nearby power substation, the infrastructure may require improvements in order to support future mining operations. We will also need to acquire groundwater rights through the permitting process in the local jurisdiction. In addition, unusual or infrequent weather phenomena, including drought, flooding, sabotage, government and/or other interference in the maintenance or provision of such infrastructure could adversely affect our operations and activities, financial condition and results of operations.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of electricity generated from nuclear sources may not be cost competitive with other electricity generation sources in some markets, which could materially and adversely affect our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electricity markets experience very low power prices due to a combination of subsidized renewables and low-cost fuel sources, and we may not be able to compete in these markets unless the benefits of the carbon-free, reliable and/or resilient energy generation are sufficiently valued in the market. Given the relatively lower electricity prices in the United States when compared to many international markets, the risk may be greater with respect to business in the United States.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Loss of government incentives to use nuclear power may have an adverse impact on the market for SMRs.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United States, the IR Act provides production tax credits for advanced reactors and small modular reactors and the ADVANCE Act of 2024 provides further incentives such as reduced licensing fees and expedited pathways to approval. The United States may decide to reduce or eliminate these or other economic incentives or curtail legislative programs supportive of nuclear energy technologies for political, financial or other reasons. Any reductions in, or eliminations of, government subsidies, economic incentives or favorable legislative programs could reduce demand for our future products and adversely affect our business prospects and results of operations.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Operational challenges due to unexpected repairs and technical issues may adversely affect our financial stability.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operations could face significant setbacks due to unforeseen technical and mechanical issues, necessitating costly repairs and maintenance. While we strives to optimize operations for efficiency and cost-effectiveness, such disruptions could negatively impact our bottom line and operational forecasts.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subject to technical innovation and obsolescence.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Requirements for our products and services may be affected by technological changes in nuclear reactors, and enrichment and used uranium fuel reprocessing. These technological changes could reduce the demand for our products and services and/or increase the supply of competitive products and services. The cost competitiveness of our operations may be impacted through the development and commercialization of other mining, processing and other technologies. As a result, our competitors may adopt technological advancements that give them an advantage over us or that reduce the demand for our products or make them obsolete.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expand our business in the future and enter into new lines of business or geographic markets, which may result in additional risks, uncertainties and costs in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grow our business by offering additional services, by entering into new lines of business and by entering into, or expanding our presence in, new geographic markets. Introducing new services could increase our operational costs and the complexities involved in managing such services, including with respect to ensuring compliance with applicable regulatory requirements. For example, we are actively engaged in the advancement of SMR technology as a core component of our strategic growth plan.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investors due to the perception that we are no longer focusing on our core business. In addition, we may, from time to time, explore opportunities to grow our business via acquisitions, partnerships, investments, or other strategic transactions. There can be no assurance that we will identify, negotiate, or complete such transactions, that any completed transactions will produce favorable financial results, or that we will be able to successfully integrate an acquired business with our business.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Entry into certain lines of business or geographic markets or introduction of new types of services may subject us to new laws and regulations with which we are not familiar or from which we are currently exempt and may lead to increased litigation and regulatory risk. In addition, certain aspects of our cost structure, such as costs for compensation,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for SMRs generating nuclear power is not yet established and may not achieve the growth potential we expect or may grow more slowly than expected.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for SMRs has not yet been established. Our estimates for the total addressable market are based on a number of internal and third-party estimates, including our potential contracted revenue, the number of potential customers, assumed prices and production costs, our ability to leverage our current logistical and operational processes, and general market conditions. However, our assumptions and the data underlying our estimates may not be correct and the conditions supporting our assumptions or estimates may change at any time, thereby reducing the predictive accuracy of these underlying factors. As a result, our estimates of the annual total addressable market for our services, as well as the expected growth rate for the total addressable market for our services, may prove to be incorrect.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licensed SMR technology is at an early stage, may never achieve commercial viability, and loss of the license would terminate our ability to pursue this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hold an exclusive patent license, executed June 20, 2025, to a portfolio of small modular nuclear reactor patent applications from UNM Rainforest Innovations, the technology licensing arm of the University of New Mexico. The company has not built a working prototype or demonstrated commercial-scale performance. To commercialize the technology, we must complete fundamental design, materials, and control-system development; construct and test pilot units; and scale specialized manufacturing, each of which could reveal technical defects, cost overruns, or delays that exhaust capital or require uneconomic redesigns. The license agreement requires escalating maintenance fees, minimum royalties, reimbursement of all patent expenses, and quarterly diligence reporting. Failure to meet any obligation, or an adverse liquidity event, could allow UNMRI to terminate the license on thirty days’ notice, forcing us to halt development and write off our cumulative investment. U.S. government “march-in” rights and university research carve-outs further limit exclusivity. In addition, the uranium nitride fuel required for use in SMR technology will require qualification by the NRC prior to use, and such qualification may not be obtained in a timely manner or at all. If we cannot overcome these technical, contractual and procedural risks, we will have no viable SMR product and could incur material impairment charges and adverse effects on our business, financial condition, and results of operations.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depend entirely on a single license for our SMR technology platform.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intellectual-property rights for our SMR program derive from the June 20, 2025 license with UNM Rainforest Innovations. Any default in payment, diligence, reporting, insurance, or insolvency covenants could result in termination on thirty days’ notice. We have no alternative reactor design under development; loss of the license would eliminate our only SMR product line, require a full write-off of our investment, and materially harm our business, financial condition, and results of operations.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SMR development remains conceptual and faces significant technical risk.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reactor design, fuel qualification, and safety-case preparation are preliminary. We must convert laboratory concepts into engineering models, select materials capable of withstanding sustained neutron flux, and integrate nuclear-grade digital control systems. Discovery of material incompatibilities, flawed thermal-hydraulic assumptions, or integration conflicts could require costly redesigns, delay subsequent testing and regulatory engagement, and deplete limited capital. In addition, further development of the SMR technology will require us to hire personnel with a high degree of very specialized knowledge and technical expertise, and while we are actively recruiting such personnel, there is no guarantee we will be successful in hiring persons with the required skillsets. If these issues prevent us from building a functional prototype, our Company will have no SMR product to advance and could incur significant write-offs with a material adverse effect on our business, financial condition, and results of operations.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lack the manufacturing infrastructure to scale any future SMR prototype, and early production efforts may cause significant cost overruns and delays.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have no dedicated fabrication lines, qualified supply chain, or nuclear-quality assurance program capable of producing serial reactor modules. Converting a prototype into marketable units will require purpose-built facilities, qualified suppliers of reactor-grade forgings and advanced alloys, and process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controls that meet strict nuclear codes. Early pilot runs may reveal weld defects, additive-manufacturing inconsistencies, or heat-treatment deviations that require costly rework. Because critical components often come from single-source vendors with long lead times, fabrication errors or late deliveries could cause multi-month delays, trigger liquidated damages under customer contracts, and undermine project economics. Failure to establish reliable, scalable production at acceptable cost and within projected timelines could result in lost orders, reputational harm, and a material adverse effect on our business, results of operations, and liquidity. </w:t>
      </w:r>
    </w:p>
    <w:p>
      <w:pPr>
        <w:pStyle w:val="TextBody"/>
        <w:bidi w:val="0"/>
        <w:spacing w:lineRule="atLeast" w:line="24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A nuclear incident involving SMR technology could result in extensive liability and irreparable reputational harm.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accidental release of radioactive material, loss-of-coolant event, sabotage, or other safety failure at an SMR site utilizing our technology could endanger public health, prompt emergency evacuations, and expose us to potentially unlimited civil liability under federal and state law. Even incidents at unrelated nuclear facilities could intensify public opposition, prompt moratoria, or result in more stringent regulations that limit deployment. Any such event could lead to prolonged operational shutdowns, contract cancellations, higher insurance and security costs, and severe reputational damage, any of which could materially and adversely affect our business, financial condition, and operating results.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shortage of specialized nuclear talent could delay key milestones and increase labor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Designing, licensing, and operating SMRs requires engineers, radiation-protection specialists, and project managers with rare credentials and, in many cases, U.S. security clearances. Competition for such expertise is intense. If we cannot recruit or retain critical personnel when needed, design reviews, licensing submissions, and supplier audits could be delayed. In addition, bidding aggressively for scarce talent could increase operating expenses. Either development delays or higher labor costs could undermine the viability of our SMR program and materially and adversely affect our business, financial condition, and results of operations.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Competitors in China and Russia currently operate commercial SMRs and may have advantages in marketing their SMRs to potential customers.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Competitors in Russia and China, such as Rosatom and China National Nuclear Corporation, currently operate commercial SMRs in those countries. Although their SMR designs have not been approved by the NRC or in any jurisdiction outside of their native countries, those competitors may have a competitive advantage if they are able to obtain approval comparable to the NRC’s SDA, or if they can otherwise demonstrate to potential customers the value and benefits of their SMRs, particularly in jurisdictions that have less stringent regulatory requirements. In addition, these competitors may have access to greater government or other funding to develop and commercialize their SMRs than we do.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nature of our business involves significant risks and uncertainties that may not be covered by insurance or indemnity.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early-stage uranium mining and SMR developer, certain of our activities are inherently hazardous and could result in loss of life, significant property damage, or environmental contamination. Key risks include: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Mining Operations Hazards</w:t>
      </w:r>
      <w:r>
        <w:rPr>
          <w:rFonts w:ascii="Times New Roman;Times;serif" w:hAnsi="Times New Roman;Times;serif"/>
          <w:b w:val="false"/>
          <w:i w:val="false"/>
          <w:caps w:val="false"/>
          <w:smallCaps w:val="false"/>
          <w:color w:val="000000"/>
          <w:spacing w:val="4"/>
          <w:sz w:val="20"/>
        </w:rPr>
        <w:t xml:space="preserve">:   Our future mining activities will involve heavy machinery, explosives, and the handling of radioactive materials, which pose risks of accidents, equipment failure, and exposure to harmful substances. Such incidents could lead to serious injuries, fatalities, or fatalities among our workforce and local communities. </w:t>
      </w:r>
      <w:r>
        <mc:AlternateContent>
          <mc:Choice Requires="wps">
            <w:drawing>
              <wp:anchor behindDoc="0" distT="7747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SMR Technology Hazards and Nuclear Liability</w:t>
      </w:r>
      <w:r>
        <w:rPr>
          <w:rFonts w:ascii="Times New Roman;Times;serif" w:hAnsi="Times New Roman;Times;serif"/>
          <w:b w:val="false"/>
          <w:i w:val="false"/>
          <w:caps w:val="false"/>
          <w:smallCaps w:val="false"/>
          <w:color w:val="000000"/>
          <w:spacing w:val="4"/>
          <w:sz w:val="20"/>
        </w:rPr>
        <w:t xml:space="preserve">:   Reactor construction, commissioning, and operation introduce unique nuclear-safety risks, including criticality accidents, coolant loss, and spent-fuel handling, that could release radiation beyond site boundaries. Although U.S. law provides a tiered system of nuclear liability protection, the statutory cap and available industry pools may prove insufficient for a severe event, and comparable frameworks may not exist or be enforceable in jurisdictions outside the United States. </w:t>
      </w:r>
      <w:r>
        <mc:AlternateContent>
          <mc:Choice Requires="wps">
            <w:drawing>
              <wp:anchor behindDoc="0" distT="7747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Environmental Impact and Compliance:   </w:t>
      </w:r>
      <w:r>
        <w:rPr>
          <w:rFonts w:ascii="Times New Roman;Times;serif" w:hAnsi="Times New Roman;Times;serif"/>
          <w:b w:val="false"/>
          <w:i w:val="false"/>
          <w:caps w:val="false"/>
          <w:smallCaps w:val="false"/>
          <w:color w:val="000000"/>
          <w:spacing w:val="4"/>
          <w:sz w:val="20"/>
        </w:rPr>
        <w:t xml:space="preserve">Uranium mining and processing and SMR development can have substantial environmental impacts, including soil and water contamination, radioactive waste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and habitat disruption. Compliance with stringent environmental regulations is mandatory, and any failure to adhere can result in legal penalties, operational shutdowns, and long-term environmental damage.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Regulatory and Permitting Challenges</w:t>
      </w:r>
      <w:r>
        <w:rPr>
          <w:rFonts w:ascii="Times New Roman;Times;serif" w:hAnsi="Times New Roman;Times;serif"/>
          <w:b w:val="false"/>
          <w:i w:val="false"/>
          <w:caps w:val="false"/>
          <w:smallCaps w:val="false"/>
          <w:color w:val="000000"/>
          <w:spacing w:val="4"/>
          <w:sz w:val="20"/>
        </w:rPr>
        <w:t xml:space="preserve">:   Obtaining and maintaining the necessary permits and licenses for our operations is complex and subject to rigorous scrutiny by national and local regulatory bodies. Changes in regulations or delays in permitting could impede our ability to operate effectively and expand our projects.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Public Health and Safety Concerns:   </w:t>
      </w:r>
      <w:r>
        <w:rPr>
          <w:rFonts w:ascii="Times New Roman;Times;serif" w:hAnsi="Times New Roman;Times;serif"/>
          <w:b w:val="false"/>
          <w:i w:val="false"/>
          <w:caps w:val="false"/>
          <w:smallCaps w:val="false"/>
          <w:color w:val="000000"/>
          <w:spacing w:val="4"/>
          <w:sz w:val="20"/>
        </w:rPr>
        <w:t xml:space="preserve">The handling and storage of radioactive materials requires stringent safety protocols to prevent accidents and unauthorized access. Any breach in these protocols could lead to public health crises, loss of trust, and significant legal liabilities.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Reputation and Community Relations</w:t>
      </w:r>
      <w:r>
        <w:rPr>
          <w:rFonts w:ascii="Times New Roman;Times;serif" w:hAnsi="Times New Roman;Times;serif"/>
          <w:b w:val="false"/>
          <w:i w:val="false"/>
          <w:caps w:val="false"/>
          <w:smallCaps w:val="false"/>
          <w:color w:val="000000"/>
          <w:spacing w:val="4"/>
          <w:sz w:val="20"/>
        </w:rPr>
        <w:t xml:space="preserve">:   Incidents of environmental harm, accidents, or non-compliance with safety standards can severely damage our reputation among customers, investors, regulatory authorities, and the general public. Negative public perception can lead to increased opposition from communities and environmental groups, making it more difficult to operate and expand our business.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Insurance Limitations</w:t>
      </w:r>
      <w:r>
        <w:rPr>
          <w:rFonts w:ascii="Times New Roman;Times;serif" w:hAnsi="Times New Roman;Times;serif"/>
          <w:b w:val="false"/>
          <w:i w:val="false"/>
          <w:caps w:val="false"/>
          <w:smallCaps w:val="false"/>
          <w:color w:val="000000"/>
          <w:spacing w:val="4"/>
          <w:sz w:val="20"/>
        </w:rPr>
        <w:t xml:space="preserve">:   While we intend to maintain insurance coverage to mitigate some of these risks as is determined prudent and reasonable by our Company, the policies may not be comprehensive enough to cover all potential liabilities, especially those related to large-scale environmental disasters or catastrophic accidents. Claims exceeding our insurance limits or arising from uninsured events could have a detrimental impact on our financial condition, cash flows, and overall operating results.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Indemnification Constraints</w:t>
      </w:r>
      <w:r>
        <w:rPr>
          <w:rFonts w:ascii="Times New Roman;Times;serif" w:hAnsi="Times New Roman;Times;serif"/>
          <w:b w:val="false"/>
          <w:i w:val="false"/>
          <w:caps w:val="false"/>
          <w:smallCaps w:val="false"/>
          <w:color w:val="000000"/>
          <w:spacing w:val="4"/>
          <w:sz w:val="20"/>
        </w:rPr>
        <w:t xml:space="preserve">:   Indemnification agreements may provide coverage for certain claims or liabilities resulting from our operations. However, these agreements may not cover all possible scenarios, particularly those involving gross negligence, intentional misconduct, or violations of environmental laws. In such cases, we may be exposed to substantial financial liabilities.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accident, failure, environmental damage, or liability, whether fully covered by insurance or not, could negatively affect our financial stability, disrupt our operations, and harm our reputation. This could lead to increased scrutiny from regulatory bodies, loss of investor confidence, and challenges in securing future funding or permits necessary for our continued growth and success.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effectively manage our anticipated growth, our business could suffer.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planned growth of our commercial operations may place a significant strain on our management and on our operational and financial resources and systems. To manage growth effectively, we will need to maintain a system of management controls, and attract and retain qualified personnel, as well as develop, train, and manage management level and other employees. If we fail to manage our growth effectively, we could over-invest or under-invest in infrastructure, and result in losses or weaknesses in our infrastructure, which could have a material adverse effect on our business, results of operations, financial condition and cash flow. Any failure by we to manage our growth effectively could have a negative effect on our ability to achieve our development and commercialization goals and strategies.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negatively impacted by the seasonality of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Seasonal fluctuations, such as extreme weather conditions, could disrupt our future mining operations, leading to operational delays, increased costs, and reduced productivity. These disruptions may hinder our ability to meet production targets, maintain steady revenue streams, and achieve our strategic growth objectives. If we are unable to effectively manage the impacts of seasonality, our business, financial condition, and results of operations could be adversely affected.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reputation, or the reputation of our industry as a whole, may be harmed.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reputation of our brand is critical to our business and competitiveness. If we fail, or are perceived to have failed, to effectively manage issues that pose reputational risks, such as mishandling client complaints, privacy breaches, or non-compliance with legal and regulatory requirements, then our business and prospects may be significantly harmed. Additionally, any negative allegations or publicity, whether substantiated or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regarding our operations, management, compliance, financial condition, or prospects could severely compromise our reputation and adversely affect our financial performance and operating results. Furthermore, negative publicity about the mining and energy metals industry as a whole, or about our partners and service providers, could also damage our reputation regardless of our own practices. These factors could reduce client confidence, increase client attrition, and ultimately result in material and adverse effects on our business and financial condition.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growth strategy may not be successful.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expand our operations and customer base, in large part, by developing the Aurora Uranium Project, acquiring additional uranium mining properties and related technologies, including SMR technology, through the SMR License Agreement with UNMRI, and forming strategic partnerships within the nuclear energy sector. Our operations are subject to all the risks inherent in the growth of a new business, particularly within the uranium mining and energy metals industry. The timing and related expenses of expansion may cause our revenues, if any, to fluctuate.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of our success must be considered in light of the problems, expenses, difficulties, complications, and delays frequently encountered in connection with the growth of a business. This includes our ability to: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Establish Ongoing Relationships</w:t>
      </w:r>
      <w:r>
        <w:rPr>
          <w:rFonts w:ascii="Times New Roman;Times;serif" w:hAnsi="Times New Roman;Times;serif"/>
          <w:b w:val="false"/>
          <w:i w:val="false"/>
          <w:caps w:val="false"/>
          <w:smallCaps w:val="false"/>
          <w:color w:val="000000"/>
          <w:spacing w:val="4"/>
          <w:sz w:val="20"/>
        </w:rPr>
        <w:t xml:space="preserve">:   Building and maintaining relationships with mining rights owners, surface owners, regulatory agencies, and industry partners is crucial. Failure to secure and sustain these relationships can impede our operational capabilities and project development.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Satisfy Legal and Regulatory Requirements</w:t>
      </w:r>
      <w:r>
        <w:rPr>
          <w:rFonts w:ascii="Times New Roman;Times;serif" w:hAnsi="Times New Roman;Times;serif"/>
          <w:b w:val="false"/>
          <w:i w:val="false"/>
          <w:caps w:val="false"/>
          <w:smallCaps w:val="false"/>
          <w:color w:val="000000"/>
          <w:spacing w:val="4"/>
          <w:sz w:val="20"/>
        </w:rPr>
        <w:t xml:space="preserve">:   Navigating the complex legal and regulatory landscape of uranium mining requires substantial effort and expertise. Any delays or failures in obtaining necessary permits, licenses, or approvals can halt or slow down our projects.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Implement Strategies Effectively</w:t>
      </w:r>
      <w:r>
        <w:rPr>
          <w:rFonts w:ascii="Times New Roman;Times;serif" w:hAnsi="Times New Roman;Times;serif"/>
          <w:b w:val="false"/>
          <w:i w:val="false"/>
          <w:caps w:val="false"/>
          <w:smallCaps w:val="false"/>
          <w:color w:val="000000"/>
          <w:spacing w:val="4"/>
          <w:sz w:val="20"/>
        </w:rPr>
        <w:t xml:space="preserve">:   Successfully executing our expansion strategies depends on our ability to manage resources, timelines, and operational efficiencies. Missteps in strategy implementation can lead to increased costs, project delays, or incomplete development.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Adapt to Operating Methods</w:t>
      </w:r>
      <w:r>
        <w:rPr>
          <w:rFonts w:ascii="Times New Roman;Times;serif" w:hAnsi="Times New Roman;Times;serif"/>
          <w:b w:val="false"/>
          <w:i w:val="false"/>
          <w:caps w:val="false"/>
          <w:smallCaps w:val="false"/>
          <w:color w:val="000000"/>
          <w:spacing w:val="4"/>
          <w:sz w:val="20"/>
        </w:rPr>
        <w:t xml:space="preserve">:   As we expand, adapting to new operating environments, technologies, and methodologies is essential. Inability to effectively integrate new processes or technologies can reduce operational effectiveness and competitiveness.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Compete in the Market</w:t>
      </w:r>
      <w:r>
        <w:rPr>
          <w:rFonts w:ascii="Times New Roman;Times;serif" w:hAnsi="Times New Roman;Times;serif"/>
          <w:b w:val="false"/>
          <w:i w:val="false"/>
          <w:caps w:val="false"/>
          <w:smallCaps w:val="false"/>
          <w:color w:val="000000"/>
          <w:spacing w:val="4"/>
          <w:sz w:val="20"/>
        </w:rPr>
        <w:t xml:space="preserve">:   The uranium mining industry is highly competitive, with established players possessing significant resources and expertise. Our ability to compete effectively against these entities is critical to our success. Failure to do so can result in lost opportunities and diminished market presence.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we may encounter: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Unfamiliar Operating Environments:   </w:t>
      </w:r>
      <w:r>
        <w:rPr>
          <w:rFonts w:ascii="Times New Roman;Times;serif" w:hAnsi="Times New Roman;Times;serif"/>
          <w:b w:val="false"/>
          <w:i w:val="false"/>
          <w:caps w:val="false"/>
          <w:smallCaps w:val="false"/>
          <w:color w:val="000000"/>
          <w:spacing w:val="4"/>
          <w:sz w:val="20"/>
        </w:rPr>
        <w:t xml:space="preserve">Expanding into new geographical areas or acquiring diverse types of mining properties may present unforeseen challenges related to local conditions, community relations, and logistical complexities.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Intense Competition</w:t>
      </w:r>
      <w:r>
        <w:rPr>
          <w:rFonts w:ascii="Times New Roman;Times;serif" w:hAnsi="Times New Roman;Times;serif"/>
          <w:b w:val="false"/>
          <w:i w:val="false"/>
          <w:caps w:val="false"/>
          <w:smallCaps w:val="false"/>
          <w:color w:val="000000"/>
          <w:spacing w:val="4"/>
          <w:sz w:val="20"/>
        </w:rPr>
        <w:t xml:space="preserve">:   Competing with larger, more established companies in the uranium mining and SMR development sectors can limit our market share, access to resources, and profitability.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these factors, along with inherent uncertainties in the implementation of our strategies and the dynamic nature of the industries in which we operate, we may not be successful in our proposed business activities.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encounter potential conflicts of interest from time to time, and the failure to identify and address such conflicts of interest could adversely affect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face the possibility of actual, potential, or perceived conflicts of interest in the ordinary course of our business operations. Conflicts of interest may exist between us and our clients, our clients and our future employees, and we and our directors and officers, if any. As we expand the scope of our business, we are critical for us to be able to timely address potential conflicts of interest, including situations where two or more interests within our businesses naturally exist but are in competition or conflict. However, appropriately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and managing actual, potential, or perceived conflicts of interest is complex and difficult, and our reputation and our clients’ confidence in us could be damaged if it fails, or appear to fail, to deal appropriately with one or more actual, potential, or perceived conflicts of interest. It is possible that actual, potential, or perceived conflicts of interest could also give rise to client dissatisfaction, litigation, or regulatory enforcement actions. Regulatory scrutiny of, or litigation in connection with, conflicts of interest could have a material adverse effect on our reputation, which could materially and adversely affect our business in several ways, including the reluctance of some potential clients and counterparties to do business with Eagle. Any of the foregoing could materially and adversely affect our reputation, business, financial condition, and results of operations.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Company and our directors and officers may be subject to litigation, arbitration, or other legal proceeding risk.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our management team members may be subject to arbitration claims and lawsuits in the ordinary course of our business. As of the date of the filing of this registration statement, we, nor our directors and officers are a party to, and are not aware of any threat of any legal proceeding that, in the opinion of our management, is likely to have a material adverse effect on our business, financial condition or operations. Actions brought against us may result in settlements, awards, injunctions, fines, penalties, and other results adverse to it. Predicting the outcome of such matters is inherently difficult, particularly where claims are brought on behalf of various classes of claimants or by many claimants, when claimants seek substantial or unspecified damages or when investigations or legal proceedings are at an early stage. A substantial judgment, settlement, fine or penalty could be material to our operating results or cash flows for a particular period, depending on our results for that period, or could cause us significant reputational harm, which could harm our business prospects.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even if we prevail in any litigation or enforcement proceedings brought against us, we could incur significant legal expenses defending against the claims, even those without merit. Moreover, because even claims without merit can damage our reputation or raise concerns among our clients, we may feel compelled to settle claims at significant cost. The initiation of any claim, proceeding or investigation against us, or an adverse resolution of any such matter could have a material adverse effect on our reputation, business, financial condition and results of operations and cash flows.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directors and executive management team may have conflicts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Chief Executive Officer also serves in roles at other companies in our industry, and this may apply to our future directors and officers as well. Such overlapping positions are common in the mining industry but could lead to potential conflicts between their responsibilities to us and their obligations to other entities. For example, our Chief Executive Officer and director, Mark Mukhija, also serves as a director of POWR Lithium Corp., a company focused on the exploration and development of lithium and energy metal assets, and as a director of Tactical Resources Corp., a company specializing in rare earth element exploration. Our directors and officers understand their legal responsibilities regarding corporate opportunities and conflicts of interest. We will rely on these applicable laws to address any conflicts or breaches of duty. All such conflicts will be disclosed in accordance with legal requirements, and our leadership will strive to meet their fiduciary duties to the best of their ability.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success of our business is substantially dependent upon the efforts of our senior management team and our ability to attract additional personnel.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success depends largely on the skills, experience, and performance of key members of our senior management team who are critical to directing and managing our growth and development in the future. Our success is substantially dependent upon our senior management’s ability to lead our Company, implement successful corporate strategies and initiatives, develop key relationships, including relationships with collaborators and business partners, and successfully commercialize products and services. While our management team has significant experience in the mining and energy metals industry, we have considerably less experience in commercializing these products or services. The efforts of our management team will be critical as it develops our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loss of key personnel, an inability to attract and retain additional personnel or difficulties in the integration of new members of our management team into our Company could affect our ability to successfully grow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success will depend in large part upon the continued service of the members of our executive management team and key employees. In addition, our success also will depend on our ability to attract and retain qualified technical, sales and marketing, user support, financial and accounting, legal and other managerial personnel. The competition for skilled personnel in the industries in which we operate is intense. Our personnel generally may terminate their service at any time for any reason. We may incur significant costs to attract and retain highly skilled personnel, and we may lose new personnel to our competitors before it realizes the benefit of our investment in recruiting them. As we moves into new geographies, we will need to attract and recruit skilled personnel across functional areas. If we fail to attract new personnel or if it suffers increases in costs or business operations interruptions as a result of a labor dispute, or fails to retain and motivate our current personnel, it might not be able to operate our businesses effectively or efficiently, serve our future customers properly or maintain the quality of our services.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become dependent on future collaborations to develop and commercialize our uranium resources, as well as to provide operational support and maintenance capabilities essential for the success of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various collaborative agreements, including those related to exploration and development, environmental compliance, technological innovation, and project financing, to develop and commercialize our uranium projects. There is a risk that we could become dependent on one or more of these collaborative arrangements. Such collaborative agreements might be terminated by the partner, or the partner may decide not to actively pursue the co-development of our projects. Additionally, our collaboration partners may independently pursue competing technologies or projects. The occurrence of these risks could have a material adverse effect on our business, financial condition, and results of operations because they could lead to increased costs and operational disruptions. Furthermore, our ability to effectively execute our business strategies may be compromised due to our material dependence on these partners’ contributions and support.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create and maintain a competitive advantage, given the rapid technological and other competitive changes affecting all markets nationally and worldwide, and our success will depend on our ability to keep pace with any such changes.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create and maintain a competitive advantage in the uranium mining industry, given the rapid technological advancements and evolving competitive landscape. Our success will depend on our ability to keep pace with technological innovations, optimize our mining processes, and adapt to changing industry standards. Failure to innovate or respond effectively to competitive pressures could result in lost market opportunities, reduced operational efficiency, and diminished profitability, adversely affecting our business, financial condition, and results of operations.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demand for our uranium resources does not develop as expected, our projected revenues and profits will be adversely affected.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profits are influenced by factors such as global economic conditions, technological advancements in nuclear energy, geopolitical events, and evolving customer preferences for clean energy sources. We believe that the demand for uranium will continue to grow in alignment with the expansion of the nuclear energy sector. However, if our expectations regarding market size and our ability to secure contracts with utilities and strategic partners are not met, our revenue may not materialize as anticipated, adversely impacting our business and financial performance.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suppliers may experience development or manufacturing problems or delays that could limit the growth of our revenue or increase our losses.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uranium mining operations will depend on various suppliers for essential equipment, technology, and services. We may encounter unforeseen issues such as development problems, manufacturing delays, or supply chain disruptions that could limit our ability to maintain continuous operations and meet project timelines. Additionally, if our suppliers need to adjust their production processes to accommodate our expansion, this could lead to increased costs and further delays. Such supplier-related challenges could reduce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operational efficiency, increase our costs, and impair our ability to meet demand for our uranium resources in a timely manner. Consequently, this could negatively impact our revenue growth, project profitability, and overall business performance.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of third-party systems upon which we rely could adversely affect our business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rely on third-party systems and technologies for various aspects of our uranium mining operations, including data management, environmental monitoring, and operational logistics. Any failure, interruption, or deterioration in the performance or quality of these third-party services could adversely affect our business operations. Additionally, we may face challenges in obtaining or continuing to obtain necessary licenses and technologies from these third parties on reasonable terms, or at all, which could materially impact our ability to operate efficiently and achieve our strategic objectives. Disruptions in third-party systems could lead to operational delays, increased costs, and reduced productivity, negatively affecting our business, financial condition, and results of operations.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face risks related to natural disasters, health epidemics and other outbreaks, and global conflicts, which could significantly disrupt our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explore and develop our energy metal assets. Moreover, our business could also be adversely affected by Ebola virus disease, Zika virus disease, H1N1 flu, H7N9 flu, avian flu, SARS or other epidemics. We are currently operating in a period of economic uncertainty and capital markets disruption, which has been significantly impacted by geopolitical instability due to the ongoing military conflict between Russia and Ukraine and the confrontations in the Middle East, including conflicts between Israel and Hamas, and between Iran and Israel. Our business, financial condition and results of operations may be materially and adversely affected by any negative impact on the global economy and capital markets resulting from such conflicts or any other geopolitical tensions. U.S. and global markets have experienced and will likely continue to experience volatility and disruption following the escalation of geopolitical tensions and the start of the military conflict between Russia and Ukraine and conflicts in the Middle East. Although the length and impact of the ongoing military conflict is highly unpredictable, the impact of these military conflicts could lead to market disruptions, including significant volatility in commodity prices, credit and capital markets, as well as supply chain interruptions.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continuing to monitor the situation in Ukraine, the Middle East and globally, and assessing its potential impact on our business. In addition, Russian military actions and the resulting sanctions could adversely affect the global economy and financial markets and lead to instability and lack of liquidity in capital markets, potentially making it more difficult for us to obtain additional funds. 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registration statement.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are unable to attract and retain qualified management, we will be unable to operate efficiently, which could reduce our profitability.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is managed by a small number of key executives and operational officers. We may be unable to hire and retain the sufficient skilled labor force necessary to operate efficiently and to support our growth strategy. Our labor expenses may increase because of a shortage in the supply of skilled personnel. Labor shortages, increased labor costs or the loss of key personnel could negatively impact our business. Future growth could also impose significant additional responsibilities on members of our senior management, including the need to recruit and integrate new senior level managers and executives. To the extent that we are unable to manage our growth effectively or is unable to attract and retain additional qualified management, we may not be able to expand our operations or successfully execute our business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technology system failures, network disruptions or cybersecurity breaches could adversely affect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use and rely significantly on sophisticated information technology systems, networks, and infrastructure in conducting our day-to-day operations, and protecting sensitive information. In addition, we also relies on third-party software and information technology for certain of our critical accounting, project management and financial information systems. We also collect and retains information about our shareholders, vendors, and employees, with the expectation by such third parties that we will adequately protect such information.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technology system failures, including suppliers’ or vendors’ system failures, could disrupt our operations by causing transaction errors, processing inefficiencies, other business disruptions or the loss of employee or other third-party personal information. We expect that system interruptions and delays may occur in the future, given the increasing diversity and sophistication of cybersecurity threats. In addition, our systems, networks and infrastructure could be damaged or interrupted by natural disasters, power loss, telecommunications failures, intentional or inadvertent user misuse or error, failures of information technology solutions, computer viruses, malicious code, ransomware attacks and acts of terrorism. We may also be subject to physical or electronic security breaches, including breaches by computer hackers or cyber-terrorists or unauthorized access to or disclosure of our or our partners’ data. These events could impact our consultants, employees and reputation and lead to financial losses from remediation actions, loss of business or access to our business data, potential liability or an increase in expenses, all of which may have a material adverse effect on our business. Similar risks could affect our vendors, indirectly affecting our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have security, internal control and technology measures in place to protect our systems and networks, these measures could fail as a result of a cyber-attack, other third-party action, employee error, malfeasance or other security failure. Because the techniques used to obtain unauthorized access or sabotage systems change frequently and generally are not identified until they are launched against a target, we may be unable to anticipate these techniques or to implement adequate preventative measures. As a result, we may be required to expend significant resources to protect against the threat of system disruptions and security breaches or to alleviate problems caused by these disruptions and breaches. Any of these events could damage our reputation and have a material adverse effect on our business, results of operations, financial condition and cash flow.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current and future laws and regulations governing data privacy and the unauthorized disclosure of confidential information may pose complex compliance challenges and result in additional costs. A failure to comply with such laws and regulations could result in penalties or fines, legal liabilities or reputational harm. The continuing and evolving threat of cyber-attacks has also resulted in increased regulatory focus on risk management and prevention. New cyber-related regulations or other requirements could require significant additional resources and cause us to incur significant costs, which could have an adverse effect on our results of operations and cash flows.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regularly evaluate the need to upgrade or replace our systems and network infrastructure to protect our information technology environment, to stay current on vendor supported products and to improve the efficiency and scope of our systems and information technology capabilities. The implementation of new systems and information technology could adversely impact our operations by requiring substantial capital expenditures, diverting management’s attention, or causing delays or difficulties in transitioning to new systems. In addition, our systems implementations may not result in productivity improvements at the levels anticipated. Systems implementation disruption and any other information technology disruption, if not anticipated and appropriately mitigated, could have an adverse effect on our business.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Actual and potential claims, lawsuits and proceedings could ultimately reduce our profitability and liquidity and weaken our financial condition.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named as a defendant in legal proceedings claiming damages from our Company in connection with the operation of our business. These actions and proceedings may involve claims for, among other things, compensation for alleged personal injury, workers’ compensation, employment discrimination, breach of contract or property damage. Due to the inherent uncertainties of litigation, we cannot accurately predict the ultimate outcome of any such actions or proceedings. When appropriate, we establish provisions against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possible exposures, and adjust these provisions from time to time according to ongoing exposure. If our assumptions and estimates related to these exposures prove to be inadequate or inaccurate, we could experience a reduction in our profitability and liquidity and a weakening of our financial condition. In addition, claims, lawsuits and proceedings may harm our reputation or divert management resources away from operating our business.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Adverse developments affecting the financial services industry, including events or concerns involving liquidity, defaults, or non-performance by financial institutions, could adversely affect our current and projected business operations and our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maintain cash balances in accounts at U.S. financial institutions that we believe are high quality. These accounts are in non-interest-bearing and interest-bearing operating accounts and may, from time to time, exceed the Federal Deposit Insurance Corporation insurance limits. If such banking institutions were to fail, we could lose all or a portion of those amounts held more than such insurance limitations. In addition, actual events involving limited liquidity, defaults, non-performance or other adverse developments that affect financial institutions, our third-party vendors and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business, financial condition, results of operations and liquidity.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assess our banking relationships as we believe necessary or appropriate, our access to funding sources and other credit arrangements in amounts adequate to finance or capitalize our respective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future financing or access to capital on acceptable terms or at all. As the ability to access capital is expected to be one of our primary sources of liquidity, any adverse impacts on our ability to access such credit and liquidity sources as a result of adverse developments affecting the financial services industry could adversely affect our business, financial condition and results of operations.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Russia’s invasion of Ukraine is severely and unpredictably impacting global energy markets and supply chains, and rising concerns over a second severe nuclear accident in Ukraine could seriously hurt public reception to nuclear energy.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Russia’s invasion of Ukraine, initiated in February 2022, continues to exert significant and unpredictable pressure on global energy markets and supply chains as of February 2025. The conflict has perpetuated economic uncertainty, price volatility, supply shortages, and heightened national security concerns. The International Energy Agency, or IEA, has reiterated our assessment, describing the situation as “the first truly global energy crisis, with impacts that will be felt for years to come.” As we operate in the uranium market, global disruptions will directly affect our operations. Ongoing challenges such as transportation bottlenecks, fluctuating commodity prices, and intermittent supply shortages continue to pose risks. While the full extent of these impacts remains uncertain, we anticipate that prolonged instability in energy markets may constrain operational efficiencies and increase costs.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Despite these challenges, global policy responses aimed at reducing dependence on Russian energy exports have created new market opportunities. Initiatives like the continued expansion of the IR Act’s provisions for energy and climate programs, including enhanced tax credits and incentives for clean energy technologies, have spurred investment in renewable energy infrastructure. Additionally, international sanctions and strategic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realignments have accelerated the diversification of energy sources, presenting growth prospects for us in supplying alternative materials and technologies to utilities and energy providers seeking to mitigate their reliance on Russian imports.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uranium sector, in particular, faces ongoing scrutiny and skepticism stemming from Russia’s actions in Ukraine. The targeted assaults on Ukrainian nuclear facilities, including the Zaporizhzhia plant, have heightened global concerns regarding the safety and security of nuclear energy infrastructure. These incidents, compounded by the historical context of the Chernobyl disaster, continue to erode public trust in nuclear energy. The World Nuclear Association, or WNA, has highlighted that such disruptions not only undermine confidence in nuclear power but also complicate efforts to promote nuclear energy as a reliable and safe component of the global energy mix. Further, Russia’s interference with Ukrainian nuclear plants constitutes violations of international agreements, specifically Article 56 of the Additional Protocol of 1979 to the Geneva Conventions. These actions have prompted international condemnation and may lead to stricter regulatory measures and oversight within the nuclear industry. The potential for increased regulatory scrutiny poses additional compliance costs and operational constraints for our business.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these challenges pose risks to our operations, evolving global energy policies and the strategic shift away from Russian energy sources also offer avenues for growth and diversification. We intend to assess and mitigate any of the foregoing risks to sustain our business operations and capitalize on emerging opportunities in the evolving energy landscape.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Developments related to the ongoing wars between Russia and Ukraine, conflicts in the Middle East, economic instability in Venezuela, and the global response thereto, could adversely affect our business, financial condition and results of operations.</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ongoing wars between Russia and Ukraine, conflicts in the Middle East, as well as the potential for disruption to strategic shipping routes such as the Strait of Hormuz, ongoing political and economic instability in Venezuela and other oil-producing regions, and the global response to such hostilities (including sanctions, export controls, and other governmental actions), could disrupt global supply chains and energy markets, contribute to increased volatility in commodity prices, and adversely affect market conditions relevant to our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Intellectual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develop, gain approval for, protect or enforce our intellectual property or proprietary rights, our business and operating results could be harmed.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intellectual property portfolio is a critical asset underpinning both our uranium mining and SMR businesses. As of the date of the filing of this registration statement, our rights to the intellectual property associated with the Aurora Uranium Project, including acquired geological data, technical reports, and proprietary exploration methodologies, are contingent upon the successful exercise and closing of the Aurora Option Agreement. We do not currently own the Aurora Uranium Project or our related intellectual property, and our ability to acquire and utilize these assets is subject to the completion of the Transaction and satisfaction of all conditions precedent under the Aurora Option Agreement. If the Transaction does not close, we will not acquire any rights to the Aurora Uranium Project or our associated intellectual property. Failure to acquire the Aurora Uranium Project and our related intellectual property will materially and adversely affect our business, financial conditions and results of operations.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our advanced nuclear technologies, we have secured, through an exclusive license agreement with UNMRI, the worldwide rights to a portfolio of patent applications and technologies covering the design, manufacture, and commercialization of SMRs and associated systems. This portfolio includes patent applications related to reactor core design, advanced heat exchangers, autonomous control systems, and other critical components necessary for the development and deployment of next-generation SMRs. Specifically, the SMR License Agreement includes one US utility patent application for the VSLLIM reactor and three provisional patent applications for processes underlying VSLLIM and SLIMM. The SLIMM technology itself is not the subject of any existing patent protection. The SMR License Agreement is material to our business and operations, as it provides the intellectual property foundation for our development and commercialization of our SMR technologies. Failure to comply with the terms of the agreement,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diligence, and reporting obligations, could result in termination of our rights under the agreement, which would have a material adverse effect on our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other license agreements in the future for our business development. There is no assurance that we as the licensee, will be able to obtain or renew, if at all or in a timely manner, any of the license agreements upon our expiration. Failure to obtain or renew, or early termination of, any such agreement may materially and adversely affect our business, financial conditions and results of operations.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regard the protection of our trade secrets, trademarks, licenses, trade dress, patents and copyrights (if any, in future), domain names and other intellectual property or proprietary rights as critical to our success. We strive to protect our intellectual property rights by relying on federal, state and common law rights, as well as contractual restrictions. We seek to protect our confidential proprietary information, in part, by entering into consulting agreements, and/or services or employment agreements that contain non-disclosure and non-use provisions with our consultants, advisors and any third parties who have access to our proprietary know-how, information or technology. However, we cannot be certain that we have executed such agreements with all parties who may have helped to develop our intellectual property or who had access to our proprietary information, nor can it be certain that our agreements will not be breached. Any party with whom we have executed such an agreement could potentially breach that agreement and disclose our proprietary information, including our trade secrets, and we may not be able to obtain adequate remedies for such breaches. We cannot guarantee that our trade secrets and other confidential proprietary information will not be disclosed or that competitors will not otherwise gain access to our trade secrets or independently develop substantially equivalent information and techniques. Detecting the disclosure or misappropriation of a trade secret and enforcing a claim that a party illegally disclosed or misappropriated a trade secret is difficult, time-consuming and could result in substantial costs and the outcome of such a claim is unpredictable. Further, the laws of certain foreign countries do not protect proprietary rights to the same extent or in the same manner as the laws of the United States. As a result, we may encounter significant problems in protecting and defending our intellectual property or proprietary rights both in the United States and abroad. If we are unable to prevent the disclosure of our trade secrets to third parties, or if our competitors independently develop any of our trade secrets, we may not be able to establish or maintain a competitive advantage in our market, which could harm our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have no registered or issued patents related to our technology. However, our success depends in part on UNMRI’s ability to maintain and defend the patent protection of the technologies licensed to it through the SMR License Agreement. If UNMRI fails to prosecute, maintain, or defend these patent applications against third-party challenges, our rights to use and commercialize the licensed SMR technologies could be compromised, which may materially and adversely affect our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future, we expect to implement a comprehensive intellectual property protection program, which may include filing applications for patents, in the United States and international jurisdictions to protect our proprietary technologies, brands, and innovations. Patent laws, and scope of coverage afforded by them, have recently been subject to significant changes, such as the change to “first-to-file” from “first-to-invent” resulting from the Leahy-Smith America Invents Act. This change in the determination of inventorship may result in inventors and companies having to file patent applications more frequently to preserve rights in their inventions, which may favor larger competitors that have the resources to file more patent applications. Another change to the patent laws may incentivize third parties to challenge any issued patent in the United States Patent and Trademark Office (USPTO), as opposed to having to bring such an action in U.S. federal court. Any invalidation of a patent claim could have a significant impact on our ability to protect the innovations contained within our products and could harm our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USPTO and various foreign governmental patent agencies require compliance with a number of procedural, documentary, fee payment and other provisions to maintain patent applications and issued patents. We may fail to take the necessary actions and to pay the applicable fees to obtain or maintain patents in the future. Non-compliance with these requirements can result in abandonment or lapse of a patent or patent application, resulting in partial or complete loss of patent rights in the relevant jurisdiction. In such an event, competitors might be able to use our technologies and enter the market earlier than would otherwise have been the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pursues the registration of our domain names, trademarks and service marks in the United States. We may seek to protect our trademarks, patents and domain names in an increasing number of jurisdictions in future, a process that is expensive and time-consuming and may not be successful or which we may not pursue in every location.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Litigation may be necessary to enforce our intellectual property or proprietary rights, protect our trade secrets or determine the validity and scope of proprietary rights claimed by others. Any litigation of this nature, regardless of outcome or merit, could result in substantial costs, adverse publicity or diversion of management and technical resources, any of which could adversely affect our business and operating results. If we fail to maintain, protect and enhance our intellectual property or proprietary rights, our business may be harmed.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rely on our unpatented proprietary technology, trade secrets, designs, experiences, workflows, data, processes, software and know-how.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rely on proprietary information (such as trade secrets, know-how and confidential information) to protect intellectual property that may not be patentable or subject to copyright, trademark, trade dress or service mark protection, or that we believe is best protected by means that do not require public disclosure. We generally seek to protect this proprietary information by entering into consulting agreements, and/or services or employment agreements that contain non-disclosure and non-use provisions with our employees, consultants, contractors and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current or future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consultants, contractors, advisors and other third parties use intellectual property owned by others in their work for our Company,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accused of infringing intellectual property rights of third parties and content restrictions of relevant laws, which may materially and adversely affect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parties may claim that the technology used in the operation of our business infringes upon their intellectual property rights. Although we have not previously faced any litigation involving direct claims of infringement, the possibility of intellectual property claims against us increases as it continues to grow. Such claims, whether having merit, may result in our expenditure of significant financial and management resources, injunctions against us or payment of damages. We may need to obtain licenses from third parties who allege that we have infringed their rights, but such licenses may not be available on terms acceptable to us or at all. These risks have been amplified by the increase in third parties whose sole or primary business is to assert such claims.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claims, investigations and proceedings is inherently uncertain, and in any event defending against these claims could be both costly and time-consuming and could significantly divert the efforts and resources of our management and other personnel. An adverse determination in any such litigation or proceedings could cause us to pay damages, as well as legal and other costs, limit our ability to conduct business or require it to change the manner in which it operates.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Government Regulation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business is subject to a wide variety of extensive and evolving government laws and regulations. Changes in and/or failure to comply with such laws and regulations could have a material adverse effect on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regulations govern, among other things: acquisition of the property or mineral interests; maintenance of claims; tenure; expropriation; prospecting; exploration; development; construction; extraction and mining; recovery, processing, milling and production; price controls; exports and imports; taxes and royalties; labor standards; occupational health; waste disposal; toxic substances; water use; land use; American Indian or other foreign indigenous peoples consultations and accommodations; environmental protection and remediation; endangered and protected species; mine, mill and other facility decommissioning and reclamation; mine safety; transportation safety and emergency response; and other matters. Compliance with such laws and regulations may and likely will increase the costs of exploring, drilling, developing, constructing, operating, and closing of mines and other extraction, recovery and processing facilities. It is possible that, in the future, the costs, delays and other effects associated with such laws and regulations may impact our decision as to whether to operate existing mines or facilities, or, with respect to exploration, development or construction properties, whether to proceed with exploration, development or construction. It is also possible that such laws and regulations may result in us incurring significant costs to remediate or decommission properties if we are determined they do not comply with applicable environmental standards at such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expend significant financial and managerial resources to comply with applicable laws and regulations and due to the historic trend toward stricter government regulation may continue. However, there can be no assurance that future changes in applicable laws and regulations or attitudes and interpretations relating thereto will not adversely affect our activities, operations or financial condition. New laws and regulations, amendments to existing laws and regulations or changes in attitudes and interpretations resulting in more stringent implementation of existing laws and regulations, including through stricter license and permit conditions or changes in enforcement attitudes and interpretations, could have a material adverse impact on Eagle, increase costs, cause a reduction in levels of, or suspension of, extraction or recovery and/or delay or prevent the construction or development of new mineral extraction properties.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Mineral extraction is subject to potential risks and liabilities associated with impacts to the environment and the disposal of waste products occurring as a result of mineral exploration, extraction, mining, milling, recovery and production. Environmental liability may result from mining or mineral extraction activities conducted by others prior to our ownership of a property. Failure to comply with applicable laws, regulations and permitting requirements may result in enforcement actions. These actions may result in orders issued by regulatory or judicial authorities causing activities or operations to cease or be curtailed, and may include corrective measures requiring capital expenditures, installation of additional equipment or remedial actions. Companies engaged in uranium exploration operations may be required to compensate others who suffer loss or damage because of such activities and may have civil or criminal fines or penalties imposed for violations of applicable laws or regulations. Should we be unable to fully fund the cost of remedying an environmental problem, we might be required to suspend activities or operations, declare bankruptcy or enter into interim compliance measures pending completion of the required remedy, which could have a material adverse effect on our business. To the extent that we are subject to uninsured environmental liabilities, the payment of such liabilities would reduce otherwise available earnings and could have a material adverse effect on Eagle. In addition, we do not have coverage for environmental losses generally or for certain other risks, as such coverage cannot be purchased at a commercially reasonable cost. Compliance with applicable environmental laws and regulations requires significant expenditures and increases mine and facility, construction, development and operating costs.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uranium production is the fuel for carbon-free, emission-free baseload nuclear power, the world’s focus on addressing climate change may require us to continue to conduct all our operations in a manner that minimizes the use of resources, including the unnecessary use of energy resources, in order to minimize air emissions at our facilities, which can also increase mine and facility, construction, development and operating costs. Regulatory and environmental standards may also change over time to address global climate change, which could further increase these costs.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also a risk that current and future government administrations will not support mining, uranium mining, nuclear energy or other aspects of our business and may limit, restrict or prevent the use of public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lands for mining and other activities. Further, worldwide demand for uranium is directly tied to the demand for electricity produced by the nuclear power industry, which is also subject to extensive government regulation and policies. The development of mineral properties and related facilities is contingent upon governmental approvals that are complex and time consuming to obtain and that, depending upon the location of the project, involve multiple governmental agencies. The duration and success of such approvals are subject to many variables outside of our control. Any significant delays in obtaining or renewing permits or licenses in the future could have a material adverse effect on Eagle. In addition, the international marketing of uranium is subject to governmental policies and certain trade restrictions, such as those imposed by the suspension agreement between the U.S. and Russia. Changes in these policies and restrictions may adversely impact our business.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subject to laws and regulations governing the use, transportation, and disposal of toxic, hazardous and/or radioactive materials. Failure to comply with these laws and regulations could result in substantial fines and/or enforcement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operations will be subject to a variety of federal, state, and local environmental, health and safety laws and regulations governing, among other things, air emissions, wastewater discharges, management and disposal of hazardous, non-hazardous, and radioactive materials and waste, and remediation of releases of hazardous materials.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liable if we fail to comply with federal, state, and local environmental, health and safety laws and regulations. Failing to comply with such laws and regulations, including failing to obtain any necessary permits, could result in substantial fines or enforcement actions. This might require us to stop or curtail operations or conduct or fund remedial or corrective measures, make additional investments into safety-related improvements or perform other actions. The enactment of more stringent laws, regulations or permit requirements or other unanticipated events may arise in the future and adversely impact the market for our products, which could materially and adversely affect our business, financial condition, and results of operations. We could incur substantial costs as a result of a violation of, or liabilities under, environmental laws.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depend on the issuance of license amendments and renewals, which cannot be guaranteed.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need to obtain and maintain regulatory licenses and permits in order to explore and develop the Aurora Uranium Project, which are subject to renewal from time to time and are required in order to operate in compliance with applicable laws and regulations. In addition, depending on our business requirements, we may be necessary or desirable to seek amendments to one or more of our licenses or permits from time to time. There can be no assurance that necessary license and permit renewals and amendments will be issued by applicable regulatory authorities on a timely basis or at all in the future.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subject to data privacy governmental regulations, which can change, and any failure to comply with these regulations may have a material negative effect on our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subject to substantial government regulations affecting our business. These include, but are not limited to, data privacy and protection laws, regulations, policies, and contractual obligations that apply to the collection, transmission, storage, processing, and use of personal information or personal data, which, among other things, impose certain requirements relating to the privacy and security of personal information. The variety of laws and regulations governing data privacy and protection and the use of the Internet as a commercial medium are rapidly evolving, extensive, and complex and may include provisions and obligations that are inconsistent with one another or uncertain in their scope or application.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our business, it might collect and store in our internal and external data centers, cloud services, and networks sensitive data, including our proprietary business information and that of our customers, suppliers, and business collaborators, as well as personal information of our customers and employees. The secure processing, maintenance, and transmission of this information is critical to our operations and business strategy. The number and sophistication of attempted attacks and intrusions that companies have experienced from third parties has increased over the past few years. Despite our security measures, it is impossible to eliminate this risk.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U.S. states have enacted data privacy and security laws and regulations that govern the collection, use, disclosure, transfer, storage, disposal, and protection of personal information, such as social security numbers, financial information, and other sensitive personal information. For example, all 50 states and several U.S. territories now have data breach laws that require timely notification to affected individuals and, at times, regulators, credit reporting agencies, and other bodies, if a company has experienced the unauthorized access or acquisition of certain personal information. Other state laws, such as the California Consumer Privacy Act, as amended, or the CCPA, among other things, contain disclosure obligations for businesses that collect personal information about residents in their state and affords those individuals new rights relating to their personal information that may affect our ability to collect and/or use personal information. Effective January 1, 2023, we became subject to the California Privacy Rights Act, which expands upon the consumer data use restrictions, penalties, and enforcement provisions under the CCPA, and Virginia’s Consumer Data Protection Act, another comprehensive data privacy law. Effective July 1, 2023, we became subject to the Colorado Privacy Act and Connecticut’s An Act Concerning Personal Data Privacy and Online Monitoring, which are also comprehensive consumer privacy laws. Effective December 31, 2024, we also became subject to the Utah Consumer Privacy Act regarding business handling of consumers’ data. In addition, several other states and the federal government have considered or are considering privacy laws like the CCPA. We will continue to monitor and assess the impact of these laws, which may impose substantial penalties for violations, impose significant costs for investigations and compliance, allow private class-action litigation and carry significant potential liability for our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and evolving regulations and compliance standards for cybersecurity, data protection, privacy, and internal IT controls are often created in response to a major cyberattack and will increasingly impact organizations like Eagle. Regulatory and policy-driven obligations may occur unexpectedly and require us to divert substantial resources to meet expensive and time-consuming compliance measures. The interpretation and enforcement of the laws and regulations described above are uncertain and subject to change and may require substantial costs to monitor implement and maintain adequate compliance programs. Failure to comply with U.S. and international data protection laws and regulations could result in government enforcement actions (which could include substantial civil and/or criminal penalties), private litigation, and/or adverse publicity and could negatively affect our operating results and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fear of non-compliance, failed audits, and material findings may compel us to spend more to ensure we are in compliance, which may result in costly, one-off implementations to mitigate potential fines or reputational damage. The high costs associated with failing to meet regulatory requirements, combined with the risk of a fallout from security breaches, have elevated this topic from the IT organization to the executive and board levels. We may, therefore, spend additional time and money ensuring we will meet possible or unforeseeable future data protection regulations.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will face growing regulatory and compliance requirements in a variety of areas, which can be costly and time-consuming.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is, and may in the future be, subject to a variety of laws and regulations, including working conditions, labor, immigration and employment laws, and health, safety and sanitation requirements. We are unable to predict the outcome or effects of any potential legislative or regulatory proposals on our business. Any changes to the legal and regulatory framework applicable to our business could have an adverse impact on our business and results of operations. Our failure to comply with applicable governmental laws and regulations, or to maintain necessary permits or licenses, could result in liability that could have a material negative effect on our business and results of operations.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Possible changes in federal/local tax laws or the application of existing federal/local tax laws may result in significant variability in our results of operations and tax liability for the investor.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Internal Revenue Code of 1986, as amended, is subject to change by Congress, and interpretations may be modified or affected by judicial decisions by the Treasury Department through changes in regulations, and by the Internal Revenue Service through our audit policy, announcements, and published and private rulings. Although significant changes to the tax laws historically have been given prospective application, no assurance can be given that any changes made in the tax law affecting investment in us would be limited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prospective effects. Accordingly, the ultimate effect on an investor’s tax situation may be governed by laws, regulations, or interpretations of laws or regulations that have not yet been proposed, passed, or made, as the case may be.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the U.S. political environment could negatively impact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significant ongoing uncertainty with respect to potential legislation, regulation, and government policy at the federal, state, and local levels in the United States. Such uncertainty and any material changes in such legislation, regulation, and government policy could significantly impact our business as well as the markets in which we compete. Specific legislative and regulatory proposals that might materially impact us include but are not limited to, changes to liability rules for data privacy regulations, import and export regulations, income tax regulations and the U.S. federal tax code and public company reporting requirements, immigration policies and enforcement, healthcare law, minimum wage laws, climate and energy policies, foreign trade and relations with foreign governments, and pandemic response. To the extent changes in the political environment have a negative impact on us or on our customers, our markets, our business, results of operation and financial condition could be materially and adversely impacted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Organization and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Anti-takeover effects of certain provisions of Nevada law and our Charter and Bylaws may hinder a potential takeover of 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Nevada law and our Charter and Bylaws contain certain provisions, including anti-takeover provisions, that limit the ability of stockholders to take certain actions and could delay or discourage takeover attempts that stockholders may consider favorable.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our Bylaws, and the NRS contain provisions that could have the effect of rendering more difficult, delaying, or preventing an acquisition deemed undesirable by our Board and therefore depress the trading price of our Common Stock. These provisions could also make it more difficult for shareholders to take certain actions, including electing directors who are not nominated by the Board or effecting changes in our management. Among other things, our Charter and Bylaws include provisions regarding: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classified Board of Directors divided into three classes with staggered three-year terms, which could delay the ability of stockholders to change the membership of a majority of our Board;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 of the liability of, and the indemnification of, our directors and officers to the fullest extent permitted under Nevada law; </w:t>
      </w:r>
      <w:r>
        <mc:AlternateContent>
          <mc:Choice Requires="wps">
            <w:drawing>
              <wp:anchor behindDoc="0" distT="609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subject to the rights of holders of any series of preferred stock, directors may be removed only for cause and only by the affirmative vote of holders of not less than two-thirds (2/3) of the voting power of the outstanding shares of capital stock entitled to vote in an election of directors; </w:t>
      </w:r>
      <w:r>
        <mc:AlternateContent>
          <mc:Choice Requires="wps">
            <w:drawing>
              <wp:anchor behindDoc="0" distT="609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exclusive right of the Board to fill vacancies on the Board, including vacancies resulting from an increase in the size of the Board or the resignation, death or removal of a director, which prevents stockholders from filling such vacancies; </w:t>
      </w:r>
      <w:r>
        <mc:AlternateContent>
          <mc:Choice Requires="wps">
            <w:drawing>
              <wp:anchor behindDoc="0" distT="609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prohibition on stockholder action by written consent, which requires stockholder action to be taken at an annual or special meeting of stockholders and could delay the ability of stockholders to take action, including the removal of directors; </w:t>
      </w:r>
      <w:r>
        <mc:AlternateContent>
          <mc:Choice Requires="wps">
            <w:drawing>
              <wp:anchor behindDoc="0" distT="609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for the conduct and scheduling of Board and stockholder meetings; and </w:t>
      </w:r>
      <w:r>
        <mc:AlternateContent>
          <mc:Choice Requires="wps">
            <w:drawing>
              <wp:anchor behindDoc="0" distT="609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of specified supermajority voting thresholds to amend or repeal certain provisions of our Charter, which could delay or prevent changes in our governance structure and may inhibit the ability of an acquirer to effect amendments to facilitate an unsolicited takeover attempt. </w:t>
      </w:r>
      <w:r>
        <mc:AlternateContent>
          <mc:Choice Requires="wps">
            <w:drawing>
              <wp:anchor behindDoc="0" distT="609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alone or together, could delay or prevent hostile takeovers, changes in control, or changes in our Board or management.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Nevada law provides certain protections to stockholders in connection with specified business combinations. These protections are set forth in NRS 78.411 through 78.444, which regulate transactions between a Nevada corporation and an “interested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these provisions, an “interested stockholder” is generally defined as a person who beneficially owns, directly or indirectly, 10% or more of the voting power of the outstanding voting shares of the corporation. Nevada’s business combination law generally prohibits certain business combinations between a Nevada corporation and an interested stockholder for a period of two years after the person first becomes an interested stockholder, unless the transaction or the acquisition of shares that resulted in the person becoming an interested stockholder was approved in advance by the corporation’s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two-year moratorium may also be lifted if, after the person becomes an interested stockholder, the business combination is approved by both (i) the board of directors and (ii) the holders of at least 60% of the voting power of the outstanding shares not beneficially owned by the interested stockholder and its affiliates and associates. Following the expiration of the two-year period, a business combination with an interested stockholder remains prohibited unless it is approved by the board of directors and either the disinterested stockholders or a majority of the outstanding voting power not beneficially owned by the interested stockholder and its affiliates and associates, or unless the transaction satisfies specified fair-value requirements. These statutory restrictions generally cease to apply four years after the person first became an interested stockholder.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Nevada’s business combination statutes apply only to corporations with 200 or more stockholders of record. Corporations are permitted to opt out of these provisions by amending their charter; however, any such opt-out must be approved by a majority of the outstanding voting power not owned by interested stockholders, would not become effective until 18 months after stockholder approval, and would not apply retroactively to any person who became an interested stockholder on or before the effective date of the amendment. We have opted out of the business combination provisions of NRS 78.411 through 78.444.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restrictions on business combinations with interested stockholders, Nevada law also provides protections relating to the acquisition of a “controlling interest” in a Nevada corporation. These provisions are set forth in NRS 78.378 through 78.3793 and are commonly referred to as Nevada’s control share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NRS 78.379, a person that acquires a controlling interest in a Nevada corporation generally may not exercise voting rights with respect to the shares constituting such controlling interest unless those voting rights are approved by a majority vote of the disinterested stockholders at a special or annual meeting of stockholders held at the request and expense of the acquiring person. For purposes of these provisions, NRS 78.3785 defines a “controlling interest” as the ownership of outstanding voting shares sufficient, but for the control share law,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acquiring person crosses one of these thresholds, shares acquired in the transaction that resulted in the acquisition of the controlling interest, as well as shares acquired within the 90 days immediately preceding the acquisition, become “control shares” subject to the voting restrictions described above.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control shares are accorded full voting rights and the acquiring person acquires control shares representing a majority or more of the voting power, any stockholder of record, other than the acquiring person, that did not vote in favor of approving the voting rights for the control shares may be entitled to dissenters’ rights under NRS Chapter 92A.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control share law does not apply to all Nevada corporations. Under NRS 78.3788, the control share statutes generally apply only to corporations that have 200 or more stockholders of record, at least 100 of whom have addresses in Nevada appearing on the corporation’s stock ledger during the 90 days immediately preceding the relevant date, and that do business in Nevada directly or indirectly or through an affiliated corporation. In addition, NRS 78.378(1) permits a corporation to opt out of the control share law through provisions in its articles of incorporation or bylaws, and NRS 78.378(2) permits a corporation to impose stricter requirements if it so desires.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opted out of Nevada’s control share law in our Bylaws. As a result, the control share statutes will not apply to acquisitions of a controlling interest in us unless we elect to revoke that opt-out in the future.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 of Nevada law or our Charter or Bylaws that has the effect of delaying or preventing a change in control could limit the opportunity for stockholders to receive a premium for their shares, deprive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of the opportunity to consider proposals they may believe to be in their best interests, and could affect the price that some investors are willing to pay for our Common Stock.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Bylaws designate a state court located within the State of Nevada (or, if a state court located within the State of Florida does not have jurisdiction, the federal district courts located in the State of Nevada) as the exclusive forum for substantially all disputes between us and our stockholders, and also provides that the federal district courts located in the State of Nevada will be the exclusive forum for resolving any complaint asserting a cause of action arising under the Securities Act, each of which could limit the ability of our stockholders to choose the judicial forum for disputes with us or our directors, officers, or employees.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unless we consent in writing to the selection of an alternative forum: (a) the forum for any complaint asserting any internal corporate claims (as defined in the Bylaws), to the fullest extent permitted by law, and subject to applicable jurisdictional requirements, shall be a state or federal district court located in the State of Nevada; and (b) the sole and exclusive forum for any complaint asserting a cause of action arising under the Securities Act, to the fullest extent permitted by law, shall be the federal district courts of the United States of America located in the State of Nevada.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may not be held to apply to suits brought to enforce any duty or liability created by the Exchange Act or any other claim for which the federal courts have exclusive jurisdiction. There is uncertainty as to the extent to which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 forum provision to be inapplicable or unenforceable in an action, we may incur additional costs associated with resolving the dispute in other jurisdictions, which could harm our results of operations.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management team may not successfully or efficiently manage its transition to being a public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public company, we have incurred new obligations relating to our reporting, procedures, and internal controls. These new obligations and attendant scrutiny will require investments of significant time and energy from our executives and could divert their attention away from the day-to-day management of our business, which in turn could adversely affect our financial condition or operating results.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management team have extensive experience leading complex organizations. However, they have limited experience managing a publicly traded company, interacting with public company investors, and complying with the increasingly complex laws, rules and regulations that specifically govern public companies.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will incur significant increased expenses and administrative burdens as a public company, which could have an adverse effect on its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consummation of the Business Combination, we face increased legal, accounting, administrative and other costs and expenses as a public company that we did not incur as a private company. The Sarbanes-Oxley Act of 2002 (the “Sarbanes-Oxley Act”), including the requirements of Section 404, as well as rules and regulations subsequently implemented by the SEC, the Dodd-Frank Wall Street Reform and Consumer Protection Act of 2010 and the rules and regulations promulgated and to be promulgated thereunder, Public Company Accounting Oversight Board (the “PCAOB”) and the securities exchanges, impose additional reporting and other obligations on public companies. Compliance with public company requirements will increase costs and make certain activities more time-consuming. A number of those requirements have and will require us to carry out activities we have not done previously. For example, we have created new board committees and will adopt new internal controls and disclosure controls and procedures. In addition, expenses associated with SEC reporting requirements will be incurred. Furthermore, if any issues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complying with those requirements are identified, we could incur additional costs rectifying those issues, and the existence of those issues could adversely affect our reputation or investor perceptions of us. It may also be more expensive to obtain director and officer liability insurance. Risks associated with our status as a public company may make it more difficult to attract and retain qualified persons to serve on the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shareholders and third parties may also prompt additional changes in governance and reporting requirements, which could further increase costs.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will need to improve our operational and financial systems to support our expected growth, increasingly complex business arrangements, and rules governing revenue and expense recognition and any inability to do so will adversely affect our billing and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manage the expected growth of our operations and increasing complexity, we will need to improve our operational and financial systems, procedures, and controls and continue to increase systems automation to reduce reliance on manual operations. Any inability to do so will affect our manufacturing operations, customer billing and reporting. Our current and planned systems, procedures and controls may not be adequate to support our complex arrangements and the rules governing revenue and expense recognition for our future operations and expected growth. Delays or problems associated with any improvement or expansion of our operational and financial systems and controls could adversely affect our relationships with our customers, cause harm to our reputation and brand and could also result in errors in our financial and other reporting. We expect that complying with these rules and regulations will substantially increase our legal and financial compliance costs and will make some activities more time-consuming and costly. These increased costs will increase our net loss and we cannot predict or estimate the amount or timing of additional costs we may incur to respond to these requirements.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management has limited experience in operating a U.S.-listed public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has limited experience in the management of a U.S.-listed public company. Our management team may not successfully or effectively manage our transition to a U.S.-listed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combined company. We may not have adequate personnel with the appropriate level of knowledge, experience, and training in the accounting policies, practices or internal controls over financial reporting required of U.S.-listed public companies. The development and implementation of the standards and controls necessary for the combined company to achieve the level of accounting standards required of a public company listed on a public exchange in the United States may require costs greater than expected. It is possible that we will be required to expand our employee base and hire additional employees to support our operations as a public company, which will increase our operating costs in future periods.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qualify as an “emerging growth company” as well as a “smaller reporting company” within the meaning of the Securities Act, and if we take advantage of certain exemptions from disclosure requirements available to emerging growth companies or smaller reporting companies, it could make our securities less attractive to investors and may make it more difficult to compare our performance to the performance of other public companies.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 to be an emerging growth company, including (a) the exemption from the auditor attestation requirements with respect to internal control over financial reporting under Section 404(b) of the Sarbanes-Oxley Act, (b) the exemptions from say-on-pay, say-on-frequency and say-on-golden parachute voting requirements and (c) reduced disclosure obligations regarding executive compensation in its periodic reports and proxy statements. We will remain an emerging growth company until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earliest of (i) the last day of the fiscal year in which the market value of the shares of Common Stock that are held by non-affiliates exceeds $700 million as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the last day of the fiscal year following the fifth anniversary of the date of the first sale of SVII Class A Ordinary Shares in the IPO. As a result, our securityholders may not have access to certain information they may deem important.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JOBS Act also provides that an emerging growth company can take advantage of the exemption from complying with new or revised accounting standards provided in Section 7(a)(2)(B) of the Securities Act as long as New Eagle is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not emerging growth companies. This may make comparison of our financial statements with another public company, which is neither an emerging growth company nor a company that has opted out of using the extended transition period, difficult because of the potential differences in accounting standards used.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we qualify as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the shares of Common Stock held by non-affiliates exceeds $250 million as of the end of that year’s second fiscal quarter, or (ii) our annual revenues exceeded $100 million during such completed fiscal year and the market value of the shares of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 Investors may find our securities less attractive because we rely on these exemptions, which may result in a less active trading market for the shares our Common Stock and its price may be more volatile.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an Investment in of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active market for our securities may not develop, which would adversely affect the liquidity and price of our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of our securities may vary significantly due to factors specific to us as well as to general market or economic conditions. Furthermore, an active trading market for our securities may never develop or, if developed, it may not be sustained. You may be unable to sell your securities unless a market can be established and sustained.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failure to meet Nasdaq’s continued listing requirements could result in a delisting of our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after listing, we fail to satisfy Nasdaq’s continued listing requirements, such as the corporate governance requirements or the minimum closing bid price requirement, Nasdaq may take steps to delist our shares. Such a delisting would likely have a negative effect on the price of our shares and would impair your ability to sell or purchase our shares when you wish to do so. In the event of a delisting, we can provide no assurance that any action taken by us to restore compliance with listing requirements would allow our shares to become listed again, stabilize the market price or improve the liquidity of our shares, prevent our shares from dropping below Nasdaq’s minimum bid price requirement or prevent future non-compliance with Nasdaq’s listing requirements.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limited availability of market quotations for our securities;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reduced liquidity for our securities;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determination that our Common Stock is “penny stock” which will require brokers trading in the Common Stock to adhere to more stringent rules and possibly result in a reduced level of trading activity in the secondary trading market for our securities; </w:t>
      </w:r>
      <w:r>
        <mc:AlternateContent>
          <mc:Choice Requires="wps">
            <w:drawing>
              <wp:anchor behindDoc="0" distT="0" distB="0" distL="254000" distR="0" simplePos="0" locked="0" layoutInCell="1" allowOverlap="1" relativeHeight="101">
                <wp:simplePos x="0" y="0"/>
                <wp:positionH relativeFrom="column">
                  <wp:align>left</wp:align>
                </wp:positionH>
                <wp:positionV relativeFrom="line">
                  <wp:posOffset>635</wp:posOffset>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limited amount of news and analyst coverage; and </w:t>
      </w:r>
      <w:r>
        <mc:AlternateContent>
          <mc:Choice Requires="wps">
            <w:drawing>
              <wp:anchor behindDoc="0" distT="7874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decreased ability to issue additional securities or obtain additional financing in the future. </w:t>
      </w:r>
      <w:r>
        <mc:AlternateContent>
          <mc:Choice Requires="wps">
            <w:drawing>
              <wp:anchor behindDoc="0" distT="7874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Common Stock being registered in this prospectus represent a substantial percentage of our public float and of our outstanding Class A ordinary shares, and the sale of such shares could cause the market price of Class A ordinary shares to decline significantly.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offer and resale from time to time, upon the expiration of lock-up agreements, if applicable, by the Selling Securityholders of (a) 30,688,995 shares of Common Stock; and (b) of up to an aggregate of 11,922,133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Common Stock being registered for resale in this prospectus represent a substantial percentage of our public float and of our outstanding Common Stock. The number of shares being registered in this prospectus (which include shares issuable upon exercise of the Warrants) represents approximately 203.0% of the total shares of Common Stock outstanding as of April 22, 2026. In addition, the securities beneficially owned by the Sponsor represent approximately 40.0% of the total Common Stock outstanding, and the Sponsor will have the ability to sell all of its shares pursuant to the registration statement of which this prospectus forms a part so long as it is available for use and the six month lockup has expired. The sale of the securities being registered in this prospectus, or the perception in the market that such sales may occur, could result in a significant decline in the public trading price of our Common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some of the shares being registered for resale were acquired by the Selling Securityholders for nominal consideration or purchased for prices considerably below the current market price of the Common Stock. Even though the current market price is significantly below the price at the time of the IPO, certain Selling Securityholders have an incentive to sell because they will still profit on sales due to the lower price at which they acquired their shares as compared to the public investors. In particular, the Sponsor may experience a positive rate of return on the securities they purchased due to the differences in the purchase prices described above, to the extent they acquired such securities for less than the relevant trading price, and the public securityholders may not experience a similar rate of return on the securities they purchased due to the differences in the purchase prices described above. Based on the last reported sale price of our Common Stock of $10.60 on April 21, 2026, shares acquired for less than such last reported sale price, the Selling Securityholders may experience potential profit up to $10.60 per share.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our Common Shares may decline following the Business Combination.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our Common Stock may decline following the Business Combination for a number of reasons including if: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react negatively to the prospects of our business;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Business Combination on our business and prospects is not consistent with the expectations of financial or industry analysts; or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achieve the perceived benefits of the Business Combination as rapidly or to the extent anticipated by financial or industry analysts.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securities or industry analysts do not publish research or reports about our business or publish negative reports about our business, our share price and trading volume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shares will depend on the research and reports that securities or industry analysts publish about us or our business. Currently, we do not have any analyst coverage and may not obtain analyst coverage in the future. In the event we obtains analyst coverage, we will not have any control over such analysts. If one or more of the analysts who cover us downgrade our shares or change their opinion of our shares, the share price would likely decline. If one or more of these analysts cease coverage of us or we or fail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regularly publish reports on us, we could lose visibility in the financial markets, which could cause our share price or trading volume to decline.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price of our Common Stock may decline and you could lose all or part of your investment as a result.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price of our Common Shares is likely to be volatile. The stock market recently has experienced extreme volatility. This volatility often has been unrelated or disproportionate to the operating performance of particular companies. You may not be able to resell your Common Shares at an attractive price due to a number of factors such as those listed in “— Risks Related to Our Business and Industry” and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of operations that vary from the expectations of securities analysts and investors; </w:t>
      </w:r>
      <w:r>
        <mc:AlternateContent>
          <mc:Choice Requires="wps">
            <w:drawing>
              <wp:anchor behindDoc="0" distT="7239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of operations that vary from our competitors; </w:t>
      </w:r>
      <w:r>
        <mc:AlternateContent>
          <mc:Choice Requires="wps">
            <w:drawing>
              <wp:anchor behindDoc="0" distT="7239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expectations as to our future financial performance, including financial estimates and investment recommendations by securities analysts and investors; </w:t>
      </w:r>
      <w:r>
        <mc:AlternateContent>
          <mc:Choice Requires="wps">
            <w:drawing>
              <wp:anchor behindDoc="0" distT="7239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declines in the market prices of stocks generally; </w:t>
      </w:r>
      <w:r>
        <mc:AlternateContent>
          <mc:Choice Requires="wps">
            <w:drawing>
              <wp:anchor behindDoc="0" distT="7239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actions by us or our competitors; </w:t>
      </w:r>
      <w:r>
        <mc:AlternateContent>
          <mc:Choice Requires="wps">
            <w:drawing>
              <wp:anchor behindDoc="0" distT="7239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announcements by us or our competitors of significant contracts, acquisitions, joint ventures, other strategic relationships or capital commitments; </w:t>
      </w:r>
      <w:r>
        <mc:AlternateContent>
          <mc:Choice Requires="wps">
            <w:drawing>
              <wp:anchor behindDoc="0" distT="7239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announcements of estimates by third parties of actual or anticipated changes in the size of our customer base or the level of customer engagement; </w:t>
      </w:r>
      <w:r>
        <mc:AlternateContent>
          <mc:Choice Requires="wps">
            <w:drawing>
              <wp:anchor behindDoc="0" distT="7239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significant change in our management; </w:t>
      </w:r>
      <w:r>
        <mc:AlternateContent>
          <mc:Choice Requires="wps">
            <w:drawing>
              <wp:anchor behindDoc="0" distT="7239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general economic or market conditions or trends in our industry or markets; </w:t>
      </w:r>
      <w:r>
        <mc:AlternateContent>
          <mc:Choice Requires="wps">
            <w:drawing>
              <wp:anchor behindDoc="0" distT="7239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business or regulatory conditions, including new laws or regulations or new interpretations of existing laws or regulations applicable to our business; </w:t>
      </w:r>
      <w:r>
        <mc:AlternateContent>
          <mc:Choice Requires="wps">
            <w:drawing>
              <wp:anchor behindDoc="0" distT="7239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securities being sold or issued into the market by us or any of the existing shareholders or the anticipation of such sales, including if we issue shares to satisfy restricted stock unit related tax obligations or if existing shareholders sell shares into the market when applicable “lock-up” periods end; </w:t>
      </w:r>
      <w:r>
        <mc:AlternateContent>
          <mc:Choice Requires="wps">
            <w:drawing>
              <wp:anchor behindDoc="0" distT="7239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 perceptions of the investment opportunity associated with our Common Stock relative to other investment alternatives; </w:t>
      </w:r>
      <w:r>
        <mc:AlternateContent>
          <mc:Choice Requires="wps">
            <w:drawing>
              <wp:anchor behindDoc="0" distT="7239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public’s response to press releases or other public announcements by us or third parties, including our filings with the SEC; </w:t>
      </w:r>
      <w:r>
        <mc:AlternateContent>
          <mc:Choice Requires="wps">
            <w:drawing>
              <wp:anchor behindDoc="0" distT="7239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litigation involving us, our industry, or both, or investigations by regulators into our operations or those of our competitors;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guidance, if any, that we provide to the public, any changes in this guidance or our failure to meet this guidance;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development and sustainability of an active trading market for our Common Stock;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institutional or activist shareholders;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in new legislation and pending lawsuits or regulatory actions, including interim or final rulings by judicial or regulatory bodies;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accounting standards, policies, guidelines, interpretations or principles; and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events or factors, including those resulting from pandemics, natural disasters, war, acts of terrorism or responses to these events.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broad market and industry fluctuations may adversely affect the market price of our Common Stock, regardless of our actual operating performance. In addition, price volatility may be greater if the public float and trading volume of our Common Stock is low. In the past, following periods of market volatility, shareholders have instituted securities class action litigation. If we are involved in securities litigation, it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 substantial cost and divert resources and the attention of executive management from our business regardless of the outcome of such litigation.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Because there are no current plans to pay cash dividends on our Common Stock for the foreseeable future, you may not receive any return on investment unless you sell your Common Stock at a price greater than what you paid for 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intends to retain future earnings, if any, for future operations, expansion and debt repayment, and there are no current plans to pay any cash dividends for the foreseeable future. The declaration, amount and payment of any future dividends on our Common Stock will be at the sole discretion of our Board. Our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shareholders or by our subsidiaries to us and such other factors as our Board may deem relevant. As a result, you may not receive any return on an investment in our Common Stock unless you sell your Common Stock for a price greater than that which you paid for it.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shareholders may experience dilution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our Common Stock owned by current shareholders may be diluted in the future because of equity issuances for acquisitions, capital market transactions or otherwise, including, without limitation, equity awards that we may grant to our directors, officers and employees, exercise of our warrants. Such issuances may have a dilutive effect on our earnings per share, which could adversely affect the market price of our Common Stock.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sales, or the perception of future sales, by us or our shareholders in the public market could cause the market price for our Common Shares to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 of our Common Stock in the public market, or the perception that such sales could occur, could harm the prevailing market price of our Common Stock. These sales, or the possibility that these sales may occur, also might make it more difficult for us to sell equity securities in the future at a time and at a price that it deems appropriate.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Business Combination, former Eagle securityholders, who collectively own approximately 55.7% of New Eagle’s common stock following the Business Combination, have agreed with us, subject to certain exceptions, not to sell, transfer, hedge, or otherwise dispose of any shares of our common stock, or securities convertible into or exchangeable for our Common Stock, for a period of 180 days following the Closing.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Common Stock reserved for future issuance under the New Eagle Equity Plan will become eligible for sale in the public market once those shares are issued, subject to any applicable vesting requirements, lockup agreements and other restrictions imposed by law. A total number of shares equal to 4,437,008 have been reserved for future issuance under the New Eagle Equity Plan. We expect to file one or more registration statements on Form S-8 under the Securities Act to register Common Stock or securities convertible into or exchangeable for Common Stock issued pursuant to the New Eagle Equity Plan. Any such Form S-8 registration statements will automatically become effective upon filing. Accordingly, shares registered under such registration statements will be available for sale in the open market.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future, we may also issue its securities in connection with investments or acquisitions. The amount of Common Stock issued in connection with an investment or acquisition could constitute a material portion of the then-outstanding Common Stock. Any issuance of additional securities in connection with investments or acquisitions may result in additional dilution to our shareholders.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Sales of our Common Shares, or the perception of such sales, pursuant to the registration statement of which this prospectus forms a part may have negative pressure on the public trading price of our Common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will determine the timing, pricing and rate at which they sell the shares being registered for resale on the registration statement of which this prospectus forms a part into the public market.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sales of Common Stock pursuant to the registration statement of which this prospectus forms a part may have negative pressure on the public trading price of our Common Stock. The shares being registered for resale (which include shares issuable upon exercise of the Warrants) currently represent approximately 203.0% of the total number of shares outstanding, based on the number of Common Stock outstanding as of April 22, 2026. Also, even though the current trading price is significantly below the SVII’s initial public offering price, based on the closing price of our Common Stock on April 21, 2026, certain private investors may have an incentive to sell their shares, because they will still profit on sales due to the lower prices at which they purchased their shares as compared to the public investors.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21, 2026, the closing price of the Common Shares was $10.60 per share. The initial public offering price of our units was $10.00 per unit, with each unit consisting of one share of Common Stock and one warrant to purchase one share of Common Stock at an exercise price of $11.50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certain Selling Securityholders may experience a positive rate of return based on the current trading price of our Common Stock, public securityholders may not experience a similar rate of return on the securities they purchased due to differences in the purchase prices and the current trading price of our Common Stock. Based on the closing price of the Common Shares on April 21, 2026, which was $10.60 per share, and assuming the resale by the Selling Securityholders of all 30,688,995 shares of Common Stock being registered on the registration statement of which this prospectus forms a part, the Selling Securityholders could earn approximately $325.3 million in aggregate proceeds from the resale of such shares. The shares issued to Aurora Energy were issued at a price of $10.00 per share, however, shares issued to Alyeska were issued at a value of $0.11 per share. All SVII Founder Shares initially issued in connection with the IPO were purchased for an aggregate price of $25,000, or $0.004 per share, and, therefore, based on the closing price of the Common Shares on April 21, 2026, holders of such shares, including the Sponsor, NRA Investors and the SVII independent directors, would earn an aggregate profit of approximately $34.1 million from the resale of such shares. The shares issued to the SVII Vendor in satisfaction of fees earned in connection with the Business Combination were valued at $8.33 per share The 13,285,871 Common Shares held by our insiders and registered herein were received as Aggregate Merger Consideration at approximately $10.00 per share and are subject to the 180-day lock-up restrictions described herein. The 11,922,133 Common Shares issuable upon exercise of the Warrants will be issued at a price of $11.50 per share (in the case of the PIPE Warrants, at a price of $12.00 per share) and, therefore, based on the closing price of the Common Shares on April 21, 2026, such holders would not earn any profit from the resale of such shares. The shares of Common Stock issuable upon exercise of the Preferred Stock will be initially convertible at a price of $11.88, with such price being adjustable (as set forth in the Certificate of Designation) down to a floor price of $5.00.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unaudited pro forma financial information included herein is not indicative of what our actual financial position or results of operations would have been.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financial information included herein is presented for illustrative purposes only and is not necessarily indicative of what our actual financial position or results of operations would have been had the Business Combination been completed on the dates indicated.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guarantee that the warrants will ever be in the money; they may expire worthless or the terms of warrants may be amended.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for the warrants is $11.50 per ordinary share (or $12.00 per share with respect to the PIPE Warrants). There is no guarantee that the Warrants will ever be in the money prior to their expiration, and as such, the warrants may expire worthless.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Public Warrants were issued in registered form under a warrant agreement between Continental Stock Transfer &amp; Trust Company, as warrant agent, and SVII.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other change. Accordingly, we may amend the terms of the warrants in a manner adverse to a holder if holders of at least a majority of the then outstanding Public Warrants approve of such amendment. Although our ability to amend the terms of the warrants with the consent of at least a majority of the then outstanding Public Warrants is unlimited, examples of such amendments could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amendments to, among other things, increase the exercise price of the warrants, shorten the exercise period or decrease the number of shares and their respective affiliates and associates have of ordinary shares purchasable upon exercise of a warrant.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choice-of-forum provision may limit a warrant holder’s ability to bring a claim in a judicial forum that we find favorable for disputes with us,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redeem the unexpired warrants prior to their exercise at a time that is disadvantageous to warrant holders, thereby making their warrants worthless.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the ability to redeem outstanding warrants at any time after they become exercisable and prior to their expiration, at a price of $0.01 per warrant, provided that the last reported sales price of the Common Shares equals or exceeds $18.00 per share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future exercise of registration rights may adversely affect the market price of our Common Shares and sales of a substantial amount of our Common Stock after the Business Combination by current shareholders could cause the price of our Common Stock to fall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Merger Agreement, we entered into the Registration Rights Agreement with the Sponsor and certain holders of Common Stock, and their permitted transferees, pursuant to which, among other things, (i) we agreed to file, within 30 days following the Closing Date, a registration statement covering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resale of certain shares of Common Stock and other equity securities of New Eagle, (ii) holders of Registrable Securities (as defined therein) were granted certain takedown, demand, block trade and piggyback registration rights with respect to their Registrable Securities, in each case, on the terms and subject to the conditions set forth in the Registration Rights Agreement. We will bear the cost of registering these securities. The registration and availability of such a significant number of securities for trading in the public market may have an adverse effect on the market price of our Common Shares. Sales of a substantial number of common shares pursuant to a resale registration statement in the public market could occur at any time the registration statement remains effective. In addition, certain registration rights holders can request underwritten offerings to sell their securities. These sales, or the perception in the market that the holders of a large number of shares intend to sell shares, could reduce the market price of our ordinary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and intend to maintain this registration statement to which this prospectus forms a part in order to facilitate registration of those sales. The registration of these securities will permit the public resale of such securities. Upon the effectiveness of this registration statement we are filing pursuant to the Registration Rights Agreement, these parties may sell large amounts of our Common Stock in the open market or in privately negotiated transactions, which could have the effect of increasing the volatility in our Common Stock share price or putting significant downward pressure on the price of our Common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substantial amounts of our Common Stock in the public market after the Business Combination, or the perception that such sales will occur, could adversely affect the market price of Common Stock and make it difficult for us to raise funds through securities offerings in the future.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resales of our Common Shares may cause the market price of our securities to drop significantly, even if our business is doing well.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Business Combination, certain former Eagle shareholders and certain of our officers and directors (the “Lock-Up Shareholders”) entered into a lock-up agreement pursuant to which they will be contractually restricted from selling or transferring any of (i) their Common Stock held immediately following the Closing and (ii) any of their Common Stock that result from converting securities held immediately following the Closing (the “Lock-Up Shares”). Such restrictions began at Closing and end 180 days after closing.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following the expiration of such lock-ups, the holders of Lock-Up Shares will not be restricted from selling our Common Stock held by them, other than by applicable securities laws. As such, sales of a substantial number of shares of Common Stock in the public market could occur at any time. These sales, or the perception in the market that the holders of a large number of shares intend to sell shares, could reduce the market price of our Common Stock. Upon completion of the Business Combination, the holders of Lock-Up Shares will collectively beneficially own approximately 55.7% of the outstanding Common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held by the Lock-Up Shareholders may be sold after the expiration of their applicable lock-up periods. As restrictions on resale end and registration statements (filed after the Closing to provide for the resale of such shares from time to time) are available for use, the sale or possibility of sale of these shares could have the effect of increasing the volatility in our Common Stock price or the market price of our Common Stock could decline if the holders of currently restricted shares sell them or are perceived by the market as intending to sell them.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Warrants may not be exercised at all or may be exercised on a cashless basis and we may not receive any cash proceeds from the exercise of the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of the Warrants may be higher than the prevailing market price of the underlying Common Stock. The exercise price of the Warrants is subject to market conditions and may not be advantageous if the prevailing market price of the underlying Common Stock is lower than the exercise price. The cash proceeds associated with the exercise of Warrants to purchase our Common Stock are contingent upon our stock price. The value of our Common Stock will fluctuate and may not align with the exercise price of the warrants at any given time. If the Warrants are “out of the money,” meaning the exercise price is higher than the market price of our Common Stock, there is a high likelihood that Warrant holders may choose not to exercise their Warrants. As a result, we may not receive any proceeds from the exercise of the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8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with regard to the Warrants, it is possible that we may not receive cash upon their exercise since the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may only be exercised for cash provided there is then an effective registration statement registering the Common Stock issuable upon the exercise of such Warrants. If there is not a then-effective registration statement, then such warrants may be exercised on a “cashless basis,” pursuant to an available exemption from registration under the Securities Act.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from time to time need additional financing to fund operations and to expand our business, including to pursue acquisitions and other strategic opportunities.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Business Combination and the PIPE Financing, we received net proceeds of approximately $31.6 million, net of transaction costs related to the Business Combination and the PIPE Financing of approximately $3.1 million.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fund our current working capital needs in the ordinary course of business and to continue to expand our business with our existing cash and cash equivalents. However, we may from time to time need additional financing to fund operations and to expand our business. We may, from time to time, explore additional financing sources to lower our cost of capital, which could include equity, equity-linked and debt financing. In addition, from time to time, we may evaluate acquisitions and other strategic opportunities. If we elect to pursue any such investments, we may fund them with internally generated funds, bank financing, the issuance of other debt or equity or a combination thereof. There is no assurance that any such financing or funding would be available to us on acceptable terms or at all. Sales of securities registered under the registration statement to which this prospectus forms a part could lower the market price of our Common Stock and Warrants. We do not believe this would harm our chances of raising capital, but could affect the sale price and number of securities we need to issue.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assurance that the holders of the Warrants will elect to exercise any or all of the Warrants, which could impact our liquidity position. To the extent that the Warrants are exercised on a “cashless basis,” the amount of cash we would receive from the exercise of the Warrants will decrease. We believe the likelihood that Warrant holders will exercise their Warrants, and therefore the amount of cash proceeds that we would receive is, among other things, dependent upon the market price of our Common Stock. If the market price for our Common Stock is less than the applicable exercise price of $11.50 (or $12.00 in the case of the PIPE Warrants), subject to adjustment as described herein, we believe such holders will be unlikely to exercise their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Common Stock offered by the Selling Securityholders pursuant to this prospectus will be sold by the Selling Securityholders for their respective accounts. The Company will not receive any of the proceeds from these sales.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will receive up to an aggregate of approximately $270.6 million from the exercise of the Warrants, assuming the exercise in full of all of the Warrants for cash. The Company expects to use the net proceeds from the exercise such warrants for other general corporate purposes. There is no assurance that the holders of the Warrants will elect to exercise any or all of such warrants. To the extent that warrants are exercised on a “cashless basis,” the amount of cash we would receive from the exercise of such warrants will decrease. We believe the likelihood that Warrant holders will exercise their Warrants, and therefore the amount of cash proceeds that we would receive is, among other things, dependent upon the market price of our Common Stock. If the market price for our Common Stock is less than the applicable exercise price of $11.50 (or $12.00 in the case of the PIPE Warrants), subject to adjustment as described herein, we believe such holders will be unlikely to exercise their Warrants. See “</w:t>
      </w:r>
      <w:r>
        <w:rPr>
          <w:rFonts w:ascii="Times New Roman;Times;serif" w:hAnsi="Times New Roman;Times;serif"/>
          <w:b w:val="false"/>
          <w:i/>
          <w:caps w:val="false"/>
          <w:smallCaps w:val="false"/>
          <w:color w:val="000000"/>
          <w:spacing w:val="4"/>
          <w:sz w:val="20"/>
        </w:rPr>
        <w:t>Description of Capital Stock</w:t>
      </w:r>
      <w:r>
        <w:rPr>
          <w:rFonts w:ascii="Times New Roman;Times;serif" w:hAnsi="Times New Roman;Times;serif"/>
          <w:b w:val="false"/>
          <w:i w:val="false"/>
          <w:caps w:val="false"/>
          <w:smallCaps w:val="false"/>
          <w:color w:val="000000"/>
          <w:spacing w:val="4"/>
          <w:sz w:val="20"/>
        </w:rPr>
        <w:t xml:space="preserve">” for additional information regarding the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Selling Securityholders will pay any underwriting fees, discounts and selling commissions incurred by such Selling Securityholders in disposing of their Common Stock. Pursuant to the Registration Rights Agreement, the Company will bear all other costs, fees and expenses incurred in effecting the registration of the Common Stock covered by this prospectus, including, without limitation, all registration and filing fees, Nasdaq listing fees and fees and expenses of counsel and independent registered public accountants.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UPFC"/>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CONSOLIDATED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providing the following unaudited pro forma condensed combined financial information to aid in the analysis of the financial aspects of the Transaction, other events contemplated by the Merger Agreement, and other transactions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unaudited pro forma condensed combined financial information has been prepared in accordance with Article 11 of Regulation S-X as amended by the final rule, Release 33-10786 “Amendments to Financial Disclosures about Acquired and Disposed Businesses” ​(“</w:t>
      </w:r>
      <w:r>
        <w:rPr>
          <w:rFonts w:ascii="Times New Roman;Times;serif" w:hAnsi="Times New Roman;Times;serif"/>
          <w:b w:val="false"/>
          <w:i/>
          <w:caps w:val="false"/>
          <w:smallCaps w:val="false"/>
          <w:color w:val="000000"/>
          <w:spacing w:val="4"/>
          <w:sz w:val="20"/>
        </w:rPr>
        <w:t>Article 11 of Regulation S-X</w:t>
      </w:r>
      <w:r>
        <w:rPr>
          <w:rFonts w:ascii="Times New Roman;Times;serif" w:hAnsi="Times New Roman;Times;serif"/>
          <w:b w:val="false"/>
          <w:i w:val="false"/>
          <w:caps w:val="false"/>
          <w:smallCaps w:val="false"/>
          <w:color w:val="000000"/>
          <w:spacing w:val="4"/>
          <w:sz w:val="20"/>
        </w:rPr>
        <w:t xml:space="preserve">”). The unaudited pro forma condensed combined financial information presents the pro forma effects of the Mergers and other related transactions, which includes the PIPE Financing and the Oregon Acquisition by Eagle.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financial statements have been adjusted in the unaudited pro forma condensed combined financial statements to give effect to pro forma events that are described hereinbefore and are directly attributable to the Transaction and factually supportable.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Oregon Acquisition will be accounted for as an asset acquisition, with no goodwill recorded, in accordance with GAAP as the acquired set of activities and assets did not meet the definition of a business under applicable accounting guidance. Under this method of accounting, Oregon Energy will be treated as a group of assets being acquired by Eagle for financial reporting purposes. Accordingly, for accounting purposes, the Oregon Acquisition will be treated as Eagle issuing shares for the net assets of Oregon Energy, with the consideration being allocated to the acquired assets based on their relative fair values.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combined statement of operations for the twelve months ended November 30, 2025 combines the historical audited statement of operations of Eagle for the year ended November 30, 2025 with the historical unaudited statement of operations of Oregon Energy for the twelve months ended December 31, 2025, on a pro forma basis as if the Oregon Acquisition and the other related transactions occurred on December 1, 2024, the beginning of the earliest period presented. These periods are presented on the basis that Eagle is the acquirer for accounting purposes.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twelve-month period of Oregon Energy’s historical statement of operations ended on December 31, 2025 is calculated by taking the audited statement of operations of Oregon Energy for the year ended June 30, 2025 and subtracting the unaudited statement of operations results of Oregon Energy for the six months ended December 31, 2024, and adding the unaudited statement of operations results of Oregon Energy for the six months ended December 31,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combined statement of operations for the three months ended February 28, 2026 combines the historical unaudited statement of operations of New Eagle for the three months ended February 28, 2026 with the historical unaudited statement of operations of Oregon Energy for the three months ended December 31, 2025, on a pro forma basis as if the Oregon Acquisition, and the other related transactions occurred on December 1, 2024, the beginning of the earliest period presented. These periods are presented on the basis that Eagle is the acquirer for accounting purposes.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reflecting the consummation of the Oregon Acquisition and other related transactions are based on certain currently available information and certain assumptions and methodologies that the Company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The Company believes that its assumptions and methodologies provide a reasonable basis for presenting all of the significant effects of the Oregon Acquisition and other related transactions based on information available to management at the time and that the pro forma adjustments give appropriate effect to those assumptions and are properly applied in the unaudited pro forma condensed combined financial information.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does not give effect to any anticipated synergies, operating efficiencies, tax savings, or cost savings that may be associated with the Oregon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Acquisition. The unaudited pro forma condensed combined financial information has been prepared for illustrative purposes only and is not necessarily indicative of what the actual results of operations and financial position would have been had the Oregon Acquisition and other transactions taken place on the dates indicated, nor are they indicative of the future consolidated results of operations or financial position of the post-combination company. The unaudited pro forma condensed combined financial information should be read in conjunction with the historical financial statements and notes thereto of New Eagle, Eagle and Oregon Energy.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for the three months ended February 28, 2026</w:t>
      </w:r>
      <w:r>
        <w:rPr>
          <w:rFonts w:ascii="Times New Roman;Times;serif" w:hAnsi="Times New Roman;Times;serif"/>
          <w:b/>
          <w:i w:val="false"/>
          <w:caps w:val="false"/>
          <w:smallCaps w:val="false"/>
          <w:color w:val="000000"/>
          <w:spacing w:val="4"/>
          <w:sz w:val="20"/>
        </w:rPr>
        <w:t xml:space="preserve"> </w:t>
      </w:r>
    </w:p>
    <w:tbl>
      <w:tblPr>
        <w:tblW w:w="9244" w:type="dxa"/>
        <w:jc w:val="left"/>
        <w:tblInd w:w="1393" w:type="dxa"/>
        <w:tblLayout w:type="fixed"/>
        <w:tblCellMar>
          <w:top w:w="0" w:type="dxa"/>
          <w:left w:w="0" w:type="dxa"/>
          <w:bottom w:w="28" w:type="dxa"/>
          <w:right w:w="0" w:type="dxa"/>
        </w:tblCellMar>
      </w:tblPr>
      <w:tblGrid>
        <w:gridCol w:w="1518"/>
        <w:gridCol w:w="109"/>
        <w:gridCol w:w="109"/>
        <w:gridCol w:w="109"/>
        <w:gridCol w:w="226"/>
        <w:gridCol w:w="1186"/>
        <w:gridCol w:w="109"/>
        <w:gridCol w:w="109"/>
        <w:gridCol w:w="109"/>
        <w:gridCol w:w="109"/>
        <w:gridCol w:w="226"/>
        <w:gridCol w:w="841"/>
        <w:gridCol w:w="109"/>
        <w:gridCol w:w="109"/>
        <w:gridCol w:w="109"/>
        <w:gridCol w:w="109"/>
        <w:gridCol w:w="109"/>
        <w:gridCol w:w="961"/>
        <w:gridCol w:w="109"/>
        <w:gridCol w:w="109"/>
        <w:gridCol w:w="109"/>
        <w:gridCol w:w="649"/>
        <w:gridCol w:w="109"/>
        <w:gridCol w:w="109"/>
        <w:gridCol w:w="109"/>
        <w:gridCol w:w="226"/>
        <w:gridCol w:w="1186"/>
        <w:gridCol w:w="109"/>
        <w:gridCol w:w="154"/>
      </w:tblGrid>
      <w:tr>
        <w:trPr/>
        <w:tc>
          <w:tcPr>
            <w:tcW w:w="15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3 months ended </w:t>
            </w:r>
            <w:r>
              <w:rPr/>
              <w:br/>
            </w:r>
            <w:r>
              <w:rPr>
                <w:spacing w:val="-3"/>
              </w:rPr>
              <w:t xml:space="preserve">February 28, 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3 months ended </w:t>
            </w:r>
            <w:r>
              <w:rPr/>
              <w:br/>
            </w:r>
            <w:r>
              <w:rPr>
                <w:spacing w:val="-3"/>
              </w:rPr>
              <w:t xml:space="preserve">December 31,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9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1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New Eagle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Oregon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88"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Pro-Forma</w:t>
            </w:r>
            <w:r>
              <w:rPr/>
              <w:t xml:space="preserve"> </w:t>
              <w:br/>
            </w:r>
            <w:r>
              <w:rPr>
                <w:spacing w:val="-3"/>
              </w:rPr>
              <w:t xml:space="preserve">Adjustments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649" w:type="dxa"/>
            <w:vMerge w:val="restart"/>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Notes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63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Pro-Forma</w:t>
            </w:r>
            <w:r>
              <w:rPr/>
              <w:t xml:space="preserve"> </w:t>
              <w:br/>
            </w:r>
            <w:r>
              <w:rPr>
                <w:spacing w:val="-3"/>
              </w:rPr>
              <w:t>Balance</w:t>
            </w:r>
            <w:r>
              <w:rPr/>
              <w:t xml:space="preserv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518" w:type="dxa"/>
            <w:tcBorders>
              <w:bottom w:val="single" w:sz="2" w:space="0" w:color="000000"/>
            </w:tcBorders>
            <w:tcMar>
              <w:bottom w:w="50" w:type="dxa"/>
            </w:tcMar>
            <w:vAlign w:val="center"/>
          </w:tcPr>
          <w:p>
            <w:pPr>
              <w:pStyle w:val="TableContents"/>
              <w:bidi w:val="0"/>
              <w:spacing w:before="0" w:after="0"/>
              <w:jc w:val="left"/>
              <w:rPr/>
            </w:pPr>
            <w:r>
              <w:rPr>
                <w:spacing w:val="-3"/>
              </w:rPr>
              <w:t>Presented in $</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288"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649" w:type="dxa"/>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630"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518" w:type="dxa"/>
            <w:tcBorders/>
            <w:shd w:fill="CCEEFF" w:val="clear"/>
            <w:tcMar>
              <w:bottom w:w="0" w:type="dxa"/>
            </w:tcMar>
            <w:vAlign w:val="center"/>
          </w:tcPr>
          <w:p>
            <w:pPr>
              <w:pStyle w:val="TableContents"/>
              <w:bidi w:val="0"/>
              <w:spacing w:before="0" w:after="0"/>
              <w:jc w:val="left"/>
              <w:rPr/>
            </w:pPr>
            <w:r>
              <w:rPr>
                <w:spacing w:val="4"/>
              </w:rPr>
              <w:t>For the year ended November 30,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8" w:type="dxa"/>
            <w:tcBorders/>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8" w:type="dxa"/>
            <w:tcBorders/>
            <w:shd w:fill="CCEEFF" w:val="clear"/>
            <w:tcMar>
              <w:bottom w:w="0" w:type="dxa"/>
            </w:tcMar>
            <w:vAlign w:val="center"/>
          </w:tcPr>
          <w:p>
            <w:pPr>
              <w:pStyle w:val="TableContents"/>
              <w:bidi w:val="0"/>
              <w:spacing w:before="0" w:after="0"/>
              <w:jc w:val="left"/>
              <w:rPr>
                <w:spacing w:val="4"/>
              </w:rPr>
            </w:pPr>
            <w:r>
              <w:rPr>
                <w:spacing w:val="4"/>
              </w:rPr>
              <w:t xml:space="preserve">Bank charges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8" w:type="dxa"/>
            <w:tcBorders/>
            <w:tcMar>
              <w:bottom w:w="0" w:type="dxa"/>
            </w:tcMar>
            <w:vAlign w:val="center"/>
          </w:tcPr>
          <w:p>
            <w:pPr>
              <w:pStyle w:val="TableContents"/>
              <w:bidi w:val="0"/>
              <w:spacing w:before="0" w:after="0"/>
              <w:jc w:val="left"/>
              <w:rPr>
                <w:spacing w:val="4"/>
              </w:rPr>
            </w:pPr>
            <w:r>
              <w:rPr>
                <w:spacing w:val="4"/>
              </w:rPr>
              <w:t xml:space="preserve">Business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80,450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80,450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8" w:type="dxa"/>
            <w:tcBorders/>
            <w:shd w:fill="CCEEFF" w:val="clear"/>
            <w:tcMar>
              <w:bottom w:w="0" w:type="dxa"/>
            </w:tcMar>
            <w:vAlign w:val="center"/>
          </w:tcPr>
          <w:p>
            <w:pPr>
              <w:pStyle w:val="TableContents"/>
              <w:bidi w:val="0"/>
              <w:spacing w:before="0" w:after="0"/>
              <w:jc w:val="left"/>
              <w:rPr>
                <w:spacing w:val="4"/>
              </w:rPr>
            </w:pPr>
            <w:r>
              <w:rPr>
                <w:spacing w:val="4"/>
              </w:rPr>
              <w:t xml:space="preserve">Amortization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8" w:type="dxa"/>
            <w:tcBorders/>
            <w:tcMar>
              <w:bottom w:w="0" w:type="dxa"/>
            </w:tcMar>
            <w:vAlign w:val="center"/>
          </w:tcPr>
          <w:p>
            <w:pPr>
              <w:pStyle w:val="TableContents"/>
              <w:bidi w:val="0"/>
              <w:spacing w:before="0" w:after="0"/>
              <w:jc w:val="left"/>
              <w:rPr>
                <w:spacing w:val="4"/>
              </w:rPr>
            </w:pPr>
            <w:r>
              <w:rPr>
                <w:spacing w:val="4"/>
              </w:rPr>
              <w:t xml:space="preserve">Depreciation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3,281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0"/>
              <w:jc w:val="center"/>
              <w:rPr>
                <w:b/>
              </w:rPr>
            </w:pPr>
            <w:r>
              <w:rPr>
                <w:b/>
                <w:spacing w:val="-4"/>
              </w:rPr>
              <w:t>4</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4,764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8" w:type="dxa"/>
            <w:tcBorders/>
            <w:shd w:fill="CCEEFF" w:val="clear"/>
            <w:tcMar>
              <w:bottom w:w="0" w:type="dxa"/>
            </w:tcMar>
            <w:vAlign w:val="center"/>
          </w:tcPr>
          <w:p>
            <w:pPr>
              <w:pStyle w:val="TableContents"/>
              <w:bidi w:val="0"/>
              <w:spacing w:before="0" w:after="0"/>
              <w:jc w:val="left"/>
              <w:rPr>
                <w:spacing w:val="4"/>
              </w:rPr>
            </w:pPr>
            <w:r>
              <w:rPr>
                <w:spacing w:val="4"/>
              </w:rPr>
              <w:t xml:space="preserve">Office and administrative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404,676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8,211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0"/>
              <w:jc w:val="center"/>
              <w:rPr>
                <w:b/>
              </w:rPr>
            </w:pPr>
            <w:r>
              <w:rPr>
                <w:b/>
                <w:spacing w:val="-4"/>
              </w:rPr>
              <w:t>4</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409,606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8" w:type="dxa"/>
            <w:tcBorders/>
            <w:tcMar>
              <w:bottom w:w="0" w:type="dxa"/>
            </w:tcMar>
            <w:vAlign w:val="center"/>
          </w:tcPr>
          <w:p>
            <w:pPr>
              <w:pStyle w:val="TableContents"/>
              <w:bidi w:val="0"/>
              <w:spacing w:before="0" w:after="0"/>
              <w:jc w:val="left"/>
              <w:rPr>
                <w:spacing w:val="4"/>
              </w:rPr>
            </w:pPr>
            <w:r>
              <w:rPr>
                <w:spacing w:val="4"/>
              </w:rPr>
              <w:t xml:space="preserve">Professional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458,920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0"/>
              <w:jc w:val="center"/>
              <w:rPr>
                <w:b/>
              </w:rPr>
            </w:pPr>
            <w:r>
              <w:rPr>
                <w:b/>
                <w:spacing w:val="-4"/>
              </w:rPr>
              <w:t>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433,920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8" w:type="dxa"/>
            <w:tcBorders/>
            <w:shd w:fill="CCEEFF" w:val="clear"/>
            <w:tcMar>
              <w:bottom w:w="0" w:type="dxa"/>
            </w:tcMar>
            <w:vAlign w:val="center"/>
          </w:tcPr>
          <w:p>
            <w:pPr>
              <w:pStyle w:val="TableContents"/>
              <w:bidi w:val="0"/>
              <w:spacing w:before="0" w:after="0"/>
              <w:jc w:val="left"/>
              <w:rPr>
                <w:spacing w:val="4"/>
              </w:rPr>
            </w:pPr>
            <w:r>
              <w:rPr>
                <w:spacing w:val="4"/>
              </w:rPr>
              <w:t xml:space="preserve">Rent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72,742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72,742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8" w:type="dxa"/>
            <w:tcBorders/>
            <w:tcMar>
              <w:bottom w:w="0" w:type="dxa"/>
            </w:tcMar>
            <w:vAlign w:val="center"/>
          </w:tcPr>
          <w:p>
            <w:pPr>
              <w:pStyle w:val="TableContents"/>
              <w:bidi w:val="0"/>
              <w:spacing w:before="0" w:after="0"/>
              <w:jc w:val="left"/>
              <w:rPr>
                <w:spacing w:val="4"/>
              </w:rPr>
            </w:pPr>
            <w:r>
              <w:rPr>
                <w:spacing w:val="4"/>
              </w:rPr>
              <w:t xml:space="preserve">Investor relations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89,821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89,821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8" w:type="dxa"/>
            <w:tcBorders/>
            <w:shd w:fill="CCEEFF" w:val="clear"/>
            <w:tcMar>
              <w:bottom w:w="0" w:type="dxa"/>
            </w:tcMar>
            <w:vAlign w:val="center"/>
          </w:tcPr>
          <w:p>
            <w:pPr>
              <w:pStyle w:val="TableContents"/>
              <w:bidi w:val="0"/>
              <w:spacing w:before="0" w:after="0"/>
              <w:jc w:val="left"/>
              <w:rPr>
                <w:spacing w:val="4"/>
              </w:rPr>
            </w:pPr>
            <w:r>
              <w:rPr>
                <w:spacing w:val="4"/>
              </w:rPr>
              <w:t xml:space="preserve">Salaries and wages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57,941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57,941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8" w:type="dxa"/>
            <w:tcBorders/>
            <w:tcMar>
              <w:bottom w:w="0" w:type="dxa"/>
            </w:tcMar>
            <w:vAlign w:val="center"/>
          </w:tcPr>
          <w:p>
            <w:pPr>
              <w:pStyle w:val="TableContents"/>
              <w:bidi w:val="0"/>
              <w:spacing w:before="0" w:after="0"/>
              <w:jc w:val="left"/>
              <w:rPr>
                <w:spacing w:val="4"/>
              </w:rPr>
            </w:pPr>
            <w:r>
              <w:rPr>
                <w:spacing w:val="4"/>
              </w:rPr>
              <w:t xml:space="preserve">Licensing fee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13,646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13,646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8" w:type="dxa"/>
            <w:tcBorders/>
            <w:shd w:fill="CCEEFF" w:val="clear"/>
            <w:tcMar>
              <w:bottom w:w="0" w:type="dxa"/>
            </w:tcMar>
            <w:vAlign w:val="center"/>
          </w:tcPr>
          <w:p>
            <w:pPr>
              <w:pStyle w:val="TableContents"/>
              <w:bidi w:val="0"/>
              <w:spacing w:before="0" w:after="0"/>
              <w:jc w:val="left"/>
              <w:rPr>
                <w:spacing w:val="4"/>
              </w:rPr>
            </w:pPr>
            <w:r>
              <w:rPr>
                <w:spacing w:val="4"/>
              </w:rPr>
              <w:t xml:space="preserve">Travel and entertainment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51,462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51,462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Exploration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227,501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37,007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264,508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18" w:type="dxa"/>
            <w:tcBorders/>
            <w:shd w:fill="CCEEFF" w:val="clear"/>
            <w:tcMar>
              <w:bottom w:w="0" w:type="dxa"/>
            </w:tcMar>
            <w:vAlign w:val="center"/>
          </w:tcPr>
          <w:p>
            <w:pPr>
              <w:pStyle w:val="TableContents"/>
              <w:bidi w:val="0"/>
              <w:spacing w:before="0" w:after="0"/>
              <w:jc w:val="left"/>
              <w:rPr>
                <w:spacing w:val="4"/>
              </w:rPr>
            </w:pPr>
            <w:r>
              <w:rPr>
                <w:spacing w:val="4"/>
              </w:rPr>
              <w:t xml:space="preserve">Total 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1,462,103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45,218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1,482,321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8" w:type="dxa"/>
            <w:tcBorders/>
            <w:tcMar>
              <w:bottom w:w="0" w:type="dxa"/>
            </w:tcMar>
            <w:vAlign w:val="center"/>
          </w:tcPr>
          <w:p>
            <w:pPr>
              <w:pStyle w:val="TableContents"/>
              <w:bidi w:val="0"/>
              <w:spacing w:before="0" w:after="0"/>
              <w:jc w:val="left"/>
              <w:rPr>
                <w:spacing w:val="4"/>
              </w:rPr>
            </w:pPr>
            <w:r>
              <w:rPr>
                <w:spacing w:val="4"/>
              </w:rPr>
              <w:t xml:space="preserve">Foreign exchange gain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(9,779)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(9,779)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income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27,775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(27,775)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649" w:type="dxa"/>
            <w:tcBorders>
              <w:bottom w:val="single" w:sz="2" w:space="0" w:color="000000"/>
            </w:tcBorders>
            <w:shd w:fill="CCEEFF" w:val="clear"/>
            <w:tcMar>
              <w:bottom w:w="50" w:type="dxa"/>
            </w:tcMar>
            <w:vAlign w:val="center"/>
          </w:tcPr>
          <w:p>
            <w:pPr>
              <w:pStyle w:val="TableContents"/>
              <w:bidi w:val="0"/>
              <w:spacing w:before="0" w:after="0"/>
              <w:jc w:val="center"/>
              <w:rPr>
                <w:b/>
              </w:rPr>
            </w:pPr>
            <w:r>
              <w:rPr>
                <w:b/>
                <w:spacing w:val="-4"/>
              </w:rPr>
              <w:t>1</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18" w:type="dxa"/>
            <w:tcBorders/>
            <w:tcMar>
              <w:bottom w:w="0" w:type="dxa"/>
            </w:tcMar>
            <w:vAlign w:val="center"/>
          </w:tcPr>
          <w:p>
            <w:pPr>
              <w:pStyle w:val="TableContents"/>
              <w:bidi w:val="0"/>
              <w:spacing w:before="0" w:after="0"/>
              <w:jc w:val="left"/>
              <w:rPr>
                <w:spacing w:val="4"/>
              </w:rPr>
            </w:pPr>
            <w:r>
              <w:rPr>
                <w:spacing w:val="4"/>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(1,471,882)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(17,443)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(2,775)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(1,492,100)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Preferred stock dividends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(32,548)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(801,725)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649" w:type="dxa"/>
            <w:tcBorders>
              <w:bottom w:val="single" w:sz="2" w:space="0" w:color="000000"/>
            </w:tcBorders>
            <w:shd w:fill="CCEEFF" w:val="clear"/>
            <w:tcMar>
              <w:bottom w:w="50" w:type="dxa"/>
            </w:tcMar>
            <w:vAlign w:val="center"/>
          </w:tcPr>
          <w:p>
            <w:pPr>
              <w:pStyle w:val="TableContents"/>
              <w:bidi w:val="0"/>
              <w:spacing w:before="0" w:after="0"/>
              <w:jc w:val="center"/>
              <w:rPr>
                <w:b/>
              </w:rPr>
            </w:pPr>
            <w:r>
              <w:rPr>
                <w:b/>
                <w:spacing w:val="-4"/>
              </w:rPr>
              <w:t>2</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(834,273)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18" w:type="dxa"/>
            <w:tcBorders/>
            <w:tcMar>
              <w:bottom w:w="0" w:type="dxa"/>
            </w:tcMar>
            <w:vAlign w:val="center"/>
          </w:tcPr>
          <w:p>
            <w:pPr>
              <w:pStyle w:val="TableContents"/>
              <w:bidi w:val="0"/>
              <w:spacing w:before="0" w:after="0"/>
              <w:ind w:left="200" w:right="0" w:hanging="200"/>
              <w:jc w:val="left"/>
              <w:rPr>
                <w:spacing w:val="4"/>
              </w:rPr>
            </w:pPr>
            <w:r>
              <w:rPr>
                <w:spacing w:val="4"/>
              </w:rPr>
              <w:t xml:space="preserve">Net loss attributable to common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(1,504,430)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(17,443)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(804,500)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(2,326,373)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Basic and diluted loss per share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(0.08)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9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64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(0.08)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18" w:type="dxa"/>
            <w:tcBorders>
              <w:bottom w:val="single" w:sz="2" w:space="0" w:color="FFFFFF"/>
            </w:tcBorders>
            <w:tcMar>
              <w:bottom w:w="37" w:type="dxa"/>
            </w:tcMar>
            <w:vAlign w:val="center"/>
          </w:tcPr>
          <w:p>
            <w:pPr>
              <w:pStyle w:val="TableContents"/>
              <w:bidi w:val="0"/>
              <w:spacing w:before="0" w:after="0"/>
              <w:ind w:left="200" w:right="0" w:hanging="200"/>
              <w:jc w:val="left"/>
              <w:rPr>
                <w:spacing w:val="4"/>
              </w:rPr>
            </w:pPr>
            <w:r>
              <w:rPr>
                <w:spacing w:val="4"/>
              </w:rPr>
              <w:t xml:space="preserve">Weighted average number of shares 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19,364,134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41" w:type="dxa"/>
            <w:tcBorders>
              <w:bottom w:val="single" w:sz="2" w:space="0" w:color="000000"/>
            </w:tcBorders>
            <w:tcMar>
              <w:bottom w:w="37"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9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29,579,313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344"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for the twelve months ended November 30, 2025</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823"/>
        <w:gridCol w:w="109"/>
        <w:gridCol w:w="109"/>
        <w:gridCol w:w="1519"/>
        <w:gridCol w:w="109"/>
        <w:gridCol w:w="109"/>
        <w:gridCol w:w="1191"/>
        <w:gridCol w:w="109"/>
        <w:gridCol w:w="109"/>
        <w:gridCol w:w="1268"/>
        <w:gridCol w:w="109"/>
        <w:gridCol w:w="109"/>
        <w:gridCol w:w="656"/>
        <w:gridCol w:w="109"/>
        <w:gridCol w:w="109"/>
        <w:gridCol w:w="1109"/>
        <w:gridCol w:w="156"/>
      </w:tblGrid>
      <w:tr>
        <w:trPr/>
        <w:tc>
          <w:tcPr>
            <w:tcW w:w="18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9" w:type="dxa"/>
            <w:tcBorders>
              <w:bottom w:val="single" w:sz="2" w:space="0" w:color="000000"/>
            </w:tcBorders>
            <w:tcMar>
              <w:bottom w:w="43" w:type="dxa"/>
            </w:tcMar>
            <w:vAlign w:val="center"/>
          </w:tcPr>
          <w:p>
            <w:pPr>
              <w:pStyle w:val="TableContents"/>
              <w:bidi w:val="0"/>
              <w:spacing w:before="0" w:after="0"/>
              <w:jc w:val="center"/>
              <w:rPr/>
            </w:pPr>
            <w:r>
              <w:rPr>
                <w:spacing w:val="-3"/>
              </w:rPr>
              <w:t>12 months ended</w:t>
            </w:r>
            <w:r>
              <w:rPr/>
              <w:t xml:space="preserve"> </w:t>
              <w:br/>
            </w:r>
            <w:r>
              <w:rPr>
                <w:spacing w:val="-3"/>
              </w:rPr>
              <w:t xml:space="preserve">November 30,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1"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12 months ended </w:t>
            </w:r>
            <w:r>
              <w:rPr/>
              <w:br/>
            </w:r>
            <w:r>
              <w:rPr>
                <w:spacing w:val="-3"/>
              </w:rPr>
              <w:t xml:space="preserve">December 31,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8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Eagle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Oregon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68" w:type="dxa"/>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Pro-Forma</w:t>
            </w:r>
            <w:r>
              <w:rPr/>
              <w:t xml:space="preserve"> </w:t>
              <w:br/>
            </w:r>
            <w:r>
              <w:rPr>
                <w:spacing w:val="-3"/>
              </w:rPr>
              <w:t xml:space="preserve">Adjustments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656" w:type="dxa"/>
            <w:vMerge w:val="restart"/>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Notes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09" w:type="dxa"/>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Pro-Forma</w:t>
            </w:r>
            <w:r>
              <w:rPr/>
              <w:t xml:space="preserve"> </w:t>
              <w:br/>
            </w:r>
            <w:r>
              <w:rPr>
                <w:spacing w:val="-3"/>
              </w:rPr>
              <w:t>Balance</w:t>
            </w:r>
            <w:r>
              <w:rPr/>
              <w:t xml:space="preserve"> </w:t>
            </w:r>
          </w:p>
        </w:tc>
        <w:tc>
          <w:tcPr>
            <w:tcW w:w="156" w:type="dxa"/>
            <w:vMerge w:val="restart"/>
            <w:tcBorders>
              <w:bottom w:val="single" w:sz="2" w:space="0" w:color="FFFFFF"/>
            </w:tcBorders>
            <w:vAlign w:val="center"/>
          </w:tcPr>
          <w:p>
            <w:pPr>
              <w:pStyle w:val="TableContents"/>
              <w:bidi w:val="0"/>
              <w:spacing w:before="0" w:after="283"/>
              <w:jc w:val="left"/>
              <w:rPr/>
            </w:pPr>
            <w:r>
              <w:rPr/>
              <w:t>​</w:t>
            </w:r>
          </w:p>
        </w:tc>
      </w:tr>
      <w:tr>
        <w:trPr/>
        <w:tc>
          <w:tcPr>
            <w:tcW w:w="182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Presented in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268" w:type="dxa"/>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656" w:type="dxa"/>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109" w:type="dxa"/>
            <w:vMerge w:val="continue"/>
            <w:tcBorders>
              <w:bottom w:val="single" w:sz="2" w:space="0" w:color="000000"/>
            </w:tcBorders>
            <w:tcMar>
              <w:bottom w:w="50" w:type="dxa"/>
            </w:tcMar>
            <w:vAlign w:val="center"/>
          </w:tcPr>
          <w:p>
            <w:pPr>
              <w:pStyle w:val="Normal"/>
              <w:bidi w:val="0"/>
              <w:jc w:val="left"/>
              <w:rPr/>
            </w:pPr>
            <w:r>
              <w:rPr/>
            </w:r>
          </w:p>
        </w:tc>
        <w:tc>
          <w:tcPr>
            <w:tcW w:w="156" w:type="dxa"/>
            <w:vMerge w:val="continue"/>
            <w:tcBorders>
              <w:bottom w:val="single" w:sz="2" w:space="0" w:color="FFFFFF"/>
            </w:tcBorders>
            <w:vAlign w:val="center"/>
          </w:tcPr>
          <w:p>
            <w:pPr>
              <w:pStyle w:val="Normal"/>
              <w:bidi w:val="0"/>
              <w:jc w:val="left"/>
              <w:rPr/>
            </w:pPr>
            <w:r>
              <w:rPr/>
            </w:r>
          </w:p>
        </w:tc>
      </w:tr>
      <w:tr>
        <w:trPr/>
        <w:tc>
          <w:tcPr>
            <w:tcW w:w="1823" w:type="dxa"/>
            <w:tcBorders/>
            <w:shd w:fill="CCEEFF" w:val="clear"/>
            <w:tcMar>
              <w:bottom w:w="0" w:type="dxa"/>
            </w:tcMar>
            <w:vAlign w:val="center"/>
          </w:tcPr>
          <w:p>
            <w:pPr>
              <w:pStyle w:val="TableContents"/>
              <w:bidi w:val="0"/>
              <w:spacing w:before="0" w:after="283"/>
              <w:jc w:val="left"/>
              <w:rPr/>
            </w:pPr>
            <w:r>
              <w:rPr>
                <w:spacing w:val="4"/>
              </w:rPr>
              <w:t>For the year ended November 30,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823" w:type="dxa"/>
            <w:tcBorders/>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564" w:type="dxa"/>
        <w:jc w:val="left"/>
        <w:tblInd w:w="1393" w:type="dxa"/>
        <w:tblLayout w:type="fixed"/>
        <w:tblCellMar>
          <w:top w:w="0" w:type="dxa"/>
          <w:left w:w="0" w:type="dxa"/>
          <w:bottom w:w="28" w:type="dxa"/>
          <w:right w:w="0" w:type="dxa"/>
        </w:tblCellMar>
      </w:tblPr>
      <w:tblGrid>
        <w:gridCol w:w="1493"/>
        <w:gridCol w:w="109"/>
        <w:gridCol w:w="109"/>
        <w:gridCol w:w="109"/>
        <w:gridCol w:w="226"/>
        <w:gridCol w:w="1306"/>
        <w:gridCol w:w="109"/>
        <w:gridCol w:w="109"/>
        <w:gridCol w:w="109"/>
        <w:gridCol w:w="109"/>
        <w:gridCol w:w="226"/>
        <w:gridCol w:w="886"/>
        <w:gridCol w:w="109"/>
        <w:gridCol w:w="109"/>
        <w:gridCol w:w="109"/>
        <w:gridCol w:w="109"/>
        <w:gridCol w:w="109"/>
        <w:gridCol w:w="1141"/>
        <w:gridCol w:w="109"/>
        <w:gridCol w:w="109"/>
        <w:gridCol w:w="109"/>
        <w:gridCol w:w="649"/>
        <w:gridCol w:w="109"/>
        <w:gridCol w:w="109"/>
        <w:gridCol w:w="109"/>
        <w:gridCol w:w="226"/>
        <w:gridCol w:w="1186"/>
        <w:gridCol w:w="109"/>
        <w:gridCol w:w="154"/>
      </w:tblGrid>
      <w:tr>
        <w:trPr/>
        <w:tc>
          <w:tcPr>
            <w:tcW w:w="14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12 months ended</w:t>
            </w:r>
            <w:r>
              <w:rPr/>
              <w:t xml:space="preserve"> </w:t>
              <w:br/>
            </w:r>
            <w:r>
              <w:rPr>
                <w:spacing w:val="-3"/>
              </w:rPr>
              <w:t xml:space="preserve">November 30,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12 months ended </w:t>
            </w:r>
            <w:r>
              <w:rPr/>
              <w:br/>
            </w:r>
            <w:r>
              <w:rPr>
                <w:spacing w:val="-3"/>
              </w:rPr>
              <w:t xml:space="preserve">December 31,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11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11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Eagle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Oregon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68"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Pro-Forma</w:t>
            </w:r>
            <w:r>
              <w:rPr/>
              <w:t xml:space="preserve"> </w:t>
              <w:br/>
            </w:r>
            <w:r>
              <w:rPr>
                <w:spacing w:val="-3"/>
              </w:rPr>
              <w:t xml:space="preserve">Adjustments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649" w:type="dxa"/>
            <w:vMerge w:val="restart"/>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Notes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63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Pro-Forma</w:t>
            </w:r>
            <w:r>
              <w:rPr/>
              <w:t xml:space="preserve"> </w:t>
              <w:br/>
            </w:r>
            <w:r>
              <w:rPr>
                <w:spacing w:val="-3"/>
              </w:rPr>
              <w:t>Balance</w:t>
            </w:r>
            <w:r>
              <w:rPr/>
              <w:t xml:space="preserv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49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Presented in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468"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649" w:type="dxa"/>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630"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Bank charges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4,184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4,184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tcMar>
              <w:bottom w:w="0" w:type="dxa"/>
            </w:tcMar>
            <w:vAlign w:val="center"/>
          </w:tcPr>
          <w:p>
            <w:pPr>
              <w:pStyle w:val="TableContents"/>
              <w:bidi w:val="0"/>
              <w:spacing w:before="0" w:after="0"/>
              <w:jc w:val="left"/>
              <w:rPr>
                <w:spacing w:val="4"/>
              </w:rPr>
            </w:pPr>
            <w:r>
              <w:rPr>
                <w:spacing w:val="4"/>
              </w:rPr>
              <w:t xml:space="preserve">Business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116,742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116,742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Amortization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1,515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tcMar>
              <w:bottom w:w="0" w:type="dxa"/>
            </w:tcMar>
            <w:vAlign w:val="center"/>
          </w:tcPr>
          <w:p>
            <w:pPr>
              <w:pStyle w:val="TableContents"/>
              <w:bidi w:val="0"/>
              <w:spacing w:before="0" w:after="0"/>
              <w:jc w:val="left"/>
              <w:rPr>
                <w:spacing w:val="4"/>
              </w:rPr>
            </w:pPr>
            <w:r>
              <w:rPr>
                <w:spacing w:val="4"/>
              </w:rPr>
              <w:t xml:space="preserve">Office and administrative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895,430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929,546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Professional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3,075,312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0"/>
              <w:jc w:val="center"/>
              <w:rPr>
                <w:b/>
              </w:rPr>
            </w:pPr>
            <w:r>
              <w:rPr>
                <w:b/>
                <w:spacing w:val="-4"/>
              </w:rPr>
              <w:t>3</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3,100,312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tcMar>
              <w:bottom w:w="0" w:type="dxa"/>
            </w:tcMar>
            <w:vAlign w:val="center"/>
          </w:tcPr>
          <w:p>
            <w:pPr>
              <w:pStyle w:val="TableContents"/>
              <w:bidi w:val="0"/>
              <w:spacing w:before="0" w:after="0"/>
              <w:jc w:val="left"/>
              <w:rPr>
                <w:spacing w:val="4"/>
              </w:rPr>
            </w:pPr>
            <w:r>
              <w:rPr>
                <w:spacing w:val="4"/>
              </w:rPr>
              <w:t xml:space="preserve">Rent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123,554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123,554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Investor relations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tcMar>
              <w:bottom w:w="0" w:type="dxa"/>
            </w:tcMar>
            <w:vAlign w:val="center"/>
          </w:tcPr>
          <w:p>
            <w:pPr>
              <w:pStyle w:val="TableContents"/>
              <w:bidi w:val="0"/>
              <w:spacing w:before="0" w:after="0"/>
              <w:jc w:val="left"/>
              <w:rPr>
                <w:spacing w:val="4"/>
              </w:rPr>
            </w:pPr>
            <w:r>
              <w:rPr>
                <w:spacing w:val="4"/>
              </w:rPr>
              <w:t xml:space="preserve">Salaries and wages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18,151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18,151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Licensing fee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29,436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29,436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tcMar>
              <w:bottom w:w="0" w:type="dxa"/>
            </w:tcMar>
            <w:vAlign w:val="center"/>
          </w:tcPr>
          <w:p>
            <w:pPr>
              <w:pStyle w:val="TableContents"/>
              <w:bidi w:val="0"/>
              <w:spacing w:before="0" w:after="0"/>
              <w:jc w:val="left"/>
              <w:rPr>
                <w:spacing w:val="4"/>
              </w:rPr>
            </w:pPr>
            <w:r>
              <w:rPr>
                <w:spacing w:val="4"/>
              </w:rPr>
              <w:t xml:space="preserve">Travel and entertainment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549,177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549,177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Exploration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314,013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240,142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4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64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554,155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493" w:type="dxa"/>
            <w:tcBorders/>
            <w:tcMar>
              <w:bottom w:w="0" w:type="dxa"/>
            </w:tcMar>
            <w:vAlign w:val="center"/>
          </w:tcPr>
          <w:p>
            <w:pPr>
              <w:pStyle w:val="TableContents"/>
              <w:bidi w:val="0"/>
              <w:spacing w:before="0" w:after="0"/>
              <w:jc w:val="left"/>
              <w:rPr>
                <w:spacing w:val="4"/>
              </w:rPr>
            </w:pPr>
            <w:r>
              <w:rPr>
                <w:spacing w:val="4"/>
              </w:rPr>
              <w:t xml:space="preserve">Total 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5,247,514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274,258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5,546,772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gain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(13,118)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(13,118)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201,426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41" w:type="dxa"/>
            <w:tcBorders>
              <w:bottom w:val="single" w:sz="2" w:space="0" w:color="000000"/>
            </w:tcBorders>
            <w:tcMar>
              <w:bottom w:w="50" w:type="dxa"/>
            </w:tcMar>
            <w:vAlign w:val="center"/>
          </w:tcPr>
          <w:p>
            <w:pPr>
              <w:pStyle w:val="TableContents"/>
              <w:bidi w:val="0"/>
              <w:spacing w:before="0" w:after="283"/>
              <w:jc w:val="right"/>
              <w:rPr/>
            </w:pPr>
            <w:r>
              <w:rPr/>
              <w:t>(201,426)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9" w:type="dxa"/>
            <w:tcBorders>
              <w:bottom w:val="single" w:sz="2" w:space="0" w:color="000000"/>
            </w:tcBorders>
            <w:tcMar>
              <w:bottom w:w="50" w:type="dxa"/>
            </w:tcMar>
            <w:vAlign w:val="center"/>
          </w:tcPr>
          <w:p>
            <w:pPr>
              <w:pStyle w:val="TableContents"/>
              <w:bidi w:val="0"/>
              <w:spacing w:before="0" w:after="0"/>
              <w:jc w:val="center"/>
              <w:rPr>
                <w:b/>
              </w:rPr>
            </w:pPr>
            <w:r>
              <w:rPr>
                <w:b/>
                <w:spacing w:val="-4"/>
              </w:rPr>
              <w:t>1</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Net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(5,260,632)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(72,832)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(226,426)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(5,559,890)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Preferred stock dividends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41" w:type="dxa"/>
            <w:tcBorders>
              <w:bottom w:val="single" w:sz="2" w:space="0" w:color="000000"/>
            </w:tcBorders>
            <w:tcMar>
              <w:bottom w:w="50" w:type="dxa"/>
            </w:tcMar>
            <w:vAlign w:val="center"/>
          </w:tcPr>
          <w:p>
            <w:pPr>
              <w:pStyle w:val="TableContents"/>
              <w:bidi w:val="0"/>
              <w:spacing w:before="0" w:after="283"/>
              <w:jc w:val="right"/>
              <w:rPr/>
            </w:pPr>
            <w:r>
              <w:rPr/>
              <w:t>(3,670,920)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9" w:type="dxa"/>
            <w:tcBorders>
              <w:bottom w:val="single" w:sz="2" w:space="0" w:color="000000"/>
            </w:tcBorders>
            <w:tcMar>
              <w:bottom w:w="50" w:type="dxa"/>
            </w:tcMar>
            <w:vAlign w:val="center"/>
          </w:tcPr>
          <w:p>
            <w:pPr>
              <w:pStyle w:val="TableContents"/>
              <w:bidi w:val="0"/>
              <w:spacing w:before="0" w:after="0"/>
              <w:jc w:val="center"/>
              <w:rPr>
                <w:b/>
              </w:rPr>
            </w:pPr>
            <w:r>
              <w:rPr>
                <w:b/>
                <w:spacing w:val="-4"/>
              </w:rPr>
              <w:t>2</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(3,670,920)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Net loss attributable to common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(5,260,632)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(72,832)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(3,897,346)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(9,230,810)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Basic and diluted loss 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(0.05)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11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(0.31)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93"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spacing w:val="4"/>
              </w:rPr>
            </w:pPr>
            <w:r>
              <w:rPr>
                <w:spacing w:val="4"/>
              </w:rPr>
              <w:t xml:space="preserve">Weighted average number of shares outstanding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37" w:type="dxa"/>
            </w:tcMar>
            <w:vAlign w:val="center"/>
          </w:tcPr>
          <w:p>
            <w:pPr>
              <w:pStyle w:val="TableContents"/>
              <w:bidi w:val="0"/>
              <w:spacing w:before="0" w:after="283"/>
              <w:jc w:val="right"/>
              <w:rPr/>
            </w:pPr>
            <w:r>
              <w:rPr/>
              <w:t>110,872,375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11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64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7" w:type="dxa"/>
            </w:tcMar>
            <w:vAlign w:val="center"/>
          </w:tcPr>
          <w:p>
            <w:pPr>
              <w:pStyle w:val="TableContents"/>
              <w:bidi w:val="0"/>
              <w:spacing w:before="0" w:after="283"/>
              <w:jc w:val="right"/>
              <w:rPr/>
            </w:pPr>
            <w:r>
              <w:rPr/>
              <w:t>29,579,433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9564" w:type="dxa"/>
            <w:gridSpan w:val="29"/>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NTU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1.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financial statements have been adjusted in the unaudited pro forma condensed combined financial statements to give effect to pro forma events that are described hereinbefore and are directly attributable to the Transaction and factually supportable.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Oregon Acquisition will be accounted for as an asset acquisition, with no goodwill recorded, in accordance with GAAP as the acquired set of activities and assets did not meet the definition of a business under applicable accounting guidance. Under this method of accounting, Oregon Energy will be treated as a group of assets being acquired by Eagle for financial reporting purposes. Accordingly, for accounting purposes, the Oregon Acquisition will be treated as Eagle issuing shares for the net assets of Oregon Energy, with the consideration being allocated to the acquired assets based on their relative fair values.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combined statement of operations for the twelve months ended November 30, 2025 combines the historical audited statement of operations of Eagle for the year ended November 30, 2025 with the historical unaudited statement of operations of Oregon Energy for the twelve months ended December 31, 2025, on a pro forma basis as if the Oregon Acquisition and the other related transactions occurred on December 1, 2024, the beginning of the earliest period presented. These periods are presented on the basis that Eagle is the acquirer for accounting purposes.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twelve-month period of Oregon Energy’s historical statement of operations ended on December 31, 2025 is calculated by taking the audited statement of operations of Oregon Energy for the year ended June 30, 2025 and subtracting the unaudited statement of operations results of Oregon Energy for the six months ended December 31, 2024, and adding the unaudited statement of operations results of Oregon Energy for the six months ended December 31,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unaudited pro forma combined statement of operations for the three months ended February 28, 2026 combines the historical unaudited statement of operations of New Eagle for the three months ended February 28, 2026 with the historical unaudited statement of operations of Oregon Energy for the three months ended December 31, 2025, on a pro forma basis as if the Oregon Acquisition, and the other related transactions occurred on December 1, 2024, the beginning of the earliest period presented. These periods are presented on the basis that Eagle is the acquirer for accounting purposes.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reflecting the consummation of the Oregon Acquisition and other related transactions are based on certain currently available information and certain assumptions and methodologies that the Company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The Company believes that its assumptions and methodologies provide a reasonable basis for presenting all of the significant effects of the Transaction, the Oregon Acquisition, and other related transactions based on information available to management at the time and that the pro forma adjustments give appropriate effect to those assumptions and are properly applied in the unaudited pro forma condensed combined financial information.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does not give effect to any anticipated synergies, operating efficiencies, tax savings, or cost savings that may be associated with the Oregon Acquisition. The unaudited pro forma condensed combined financial information has been prepared for illustrative purposes only and is not necessarily indicative of what the actual results of operations and financial position would have been had the Oregon Acquisition, and other transactions taken place on the dates indicated, nor are they indicative of the future consolidated results of operations or financial position of the post-combination company. The unaudited pro forma condensed combined financial information should be read in conjunction with the historical financial statements and notes thereto of Eagle and Oregon Energy.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2.   Accounting Policies and Reclassifications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performed a comprehensive review of the two entities’ accounting policies. As a result of the review, management did not identify any material differences related to the application of the accounting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policies applied by Eagle and Oregon Energy that would require adjustments in the unaudited pro forma condensed combined financial information. As a result, the unaudited pro forma condensed combined financial information does not assume any differences in accounting policies.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preparation of the unaudited pro forma condensed combined financial information, certain reclassifications were made to align Oregon Energy’s financial statement presentation with that of Eagle. </w:t>
      </w:r>
    </w:p>
    <w:p>
      <w:pPr>
        <w:pStyle w:val="TextBody"/>
        <w:bidi w:val="0"/>
        <w:spacing w:lineRule="atLeast" w:line="240" w:before="24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3.   Adjustments to the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to illustrate the effect of the Oregon Acquisition and other related transactions and has been prepared for informational purposes only.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unaudited pro forma condensed combined financial information has been prepared in accordance with Article 11 of Regulation S-X. The Company has elected not to present Management’s Adjustments and will only be presenting Transaction Accounting Adjustments in the unaudited pro forma condensed combined financial information. Eagle, and Oregon Energy have not had any historical relationship prior to the Transaction, other than reimbursement of exploration expenses of Oregon Energy by Eagle pursuant to the Aurora Option Agreement. Accordingly, no pro forma adjustments were required to eliminate activities between the companies, other than the pro forma adjustment to eliminate other income in the unaudited pro forma condensed combined statement of operations for the three months ended February 28, 2026, and for the twelve months ended November 30, 2025 (see Note 1 for further details).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basic and diluted earnings per share amounts presented in the unaudited pro forma condensed combined statements of operations are based upon the number of shares of New Eagle Common Stock outstanding, assuming the Oregon Acquisition and other related transactions occurred on December 1, 2024. </w:t>
      </w:r>
    </w:p>
    <w:p>
      <w:pPr>
        <w:pStyle w:val="TextBody"/>
        <w:bidi w:val="0"/>
        <w:spacing w:lineRule="atLeast" w:line="230" w:before="24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 Accounting Adjustments to the Unaudited Pro Forma Condensed Combined Statement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included in the unaudited pro forma condensed combined statements of operations for the three months ended February 28, 2026, and for the year ended November 30, 2025, are as follows: </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elimination of other income of $27,775 from the pro forma condensed combined statement of operations for the three months ended February 28, 2026, and $201,426 from the pro forma condensed combined statement of operations for the year ended November 30, 2025 which relates to reimbursement of exploration expenses of Oregon Energy by Eagle. </w:t>
      </w:r>
      <w:r>
        <mc:AlternateContent>
          <mc:Choice Requires="wps">
            <w:drawing>
              <wp:anchor behindDoc="0" distT="99060" distB="0" distL="25400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Eagle’s issuance of 29,700 Series A Cumulative Convertible Preferred Stock (which are convertible into 2,500,000 shares of New Eagle Common Stock), and 2,500,000 New Eagle PIPE Warrants, in relation to a $29,700,000 PIPE Financing from PIPE Investor, in relation to a PIPE Agreement entered into on July 30, 2025, as amended and restated on September 29, 2025, and closed concurrently with the Transaction. New Eagle PIPE Warrants issued are classified as liabilities due to certain terms of the Warrant failing the criteria for equity classification under ASC 480-10. The Series A Cumulative Convertible Preferred Stock, which is puttable at the option of the holder, is convertible into New Eagle Common Stock at a conversion ratio of 1-to-84.18. 12% Paid-in-kind dividends are accrued at $3,670,920 for the year ended November 30, 2025 to calculate the net loss attributable to shareholders, assuming a paid-in-kind election is made. 10% cash dividends are accrued at $801,725 for the three months ended February 28, 2026 to calculate the net loss attributable to shareholders, assuming a payment election is yet to be made as of February 28, 2026. </w:t>
      </w:r>
      <w:r>
        <mc:AlternateContent>
          <mc:Choice Requires="wps">
            <w:drawing>
              <wp:anchor behindDoc="0" distT="99060" distB="0" distL="25400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Represents a cash bonus to the CEO, payable upon the completion of the Transaction. The adjustment is recognized as a decrease of $25,000 in Professional Fees in the pro forma condensed combined statement of operations for the three months ended February 28, 2026, and an increase of $25,000 in Professional Fees in the pro forma condensed combined statement of operations for the year ended November 30, 2025, to present the cash bonus in the earliest period to reflect the pro forma basis of all Transactions occurring on December 1, 2024.</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9060" distB="0" distL="25400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reclassification of $3,281 is made from office and administrative expense in the books of Oregon Energy to depreciation expense in the pro forma condensed combined statement of operations for the three months ended February 28, 2026 to align with the presentation of Eagle. </w:t>
      </w:r>
      <w:r>
        <mc:AlternateContent>
          <mc:Choice Requires="wps">
            <w:drawing>
              <wp:anchor behindDoc="0" distT="0" distB="0" distL="254000" distR="0" simplePos="0" locked="0" layoutInCell="1" allowOverlap="1" relativeHeight="130">
                <wp:simplePos x="0" y="0"/>
                <wp:positionH relativeFrom="column">
                  <wp:align>left</wp:align>
                </wp:positionH>
                <wp:positionV relativeFrom="line">
                  <wp:posOffset>635</wp:posOffset>
                </wp:positionV>
                <wp:extent cx="254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4.   Net Loss per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loss per share was calculated using the historical weighted average shares outstanding, and the issuance of additional shares in connection with the Oregon Acquisition and other related transactions. As the Oregon Acquisition and other related transactions are being reflected as if they had occurred at the beginning of the earliest period presented, the calculation of weighted average shares outstanding for basic and diluted net loss per share assumes that the shares issuable relating to the Oregon Acquisition and other related transactions have been outstanding for the entirety of all periods presented.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to the number of common stock outstanding at the time of the Oregon Transaction and related transactions, for the three months ended February 28, 2026 and for the year ended November 30, 2025: </w:t>
      </w:r>
    </w:p>
    <w:tbl>
      <w:tblPr>
        <w:tblW w:w="8812" w:type="dxa"/>
        <w:jc w:val="left"/>
        <w:tblInd w:w="1393" w:type="dxa"/>
        <w:tblLayout w:type="fixed"/>
        <w:tblCellMar>
          <w:top w:w="0" w:type="dxa"/>
          <w:left w:w="0" w:type="dxa"/>
          <w:bottom w:w="28" w:type="dxa"/>
          <w:right w:w="0" w:type="dxa"/>
        </w:tblCellMar>
      </w:tblPr>
      <w:tblGrid>
        <w:gridCol w:w="1756"/>
        <w:gridCol w:w="109"/>
        <w:gridCol w:w="109"/>
        <w:gridCol w:w="109"/>
        <w:gridCol w:w="226"/>
        <w:gridCol w:w="1187"/>
        <w:gridCol w:w="109"/>
        <w:gridCol w:w="109"/>
        <w:gridCol w:w="109"/>
        <w:gridCol w:w="137"/>
        <w:gridCol w:w="137"/>
        <w:gridCol w:w="968"/>
        <w:gridCol w:w="140"/>
        <w:gridCol w:w="109"/>
        <w:gridCol w:w="109"/>
        <w:gridCol w:w="109"/>
        <w:gridCol w:w="226"/>
        <w:gridCol w:w="1187"/>
        <w:gridCol w:w="109"/>
        <w:gridCol w:w="109"/>
        <w:gridCol w:w="109"/>
        <w:gridCol w:w="137"/>
        <w:gridCol w:w="137"/>
        <w:gridCol w:w="968"/>
        <w:gridCol w:w="140"/>
        <w:gridCol w:w="158"/>
      </w:tblGrid>
      <w:tr>
        <w:trPr/>
        <w:tc>
          <w:tcPr>
            <w:tcW w:w="17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1"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For the twelve months ended</w:t>
            </w:r>
            <w:r>
              <w:rPr/>
              <w:t xml:space="preserve"> </w:t>
              <w:br/>
            </w:r>
            <w:r>
              <w:rPr>
                <w:spacing w:val="-3"/>
              </w:rPr>
              <w:t xml:space="preserve">November 30,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1"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For the three months ended</w:t>
            </w:r>
            <w:r>
              <w:rPr/>
              <w:t xml:space="preserve"> </w:t>
              <w:br/>
            </w:r>
            <w:r>
              <w:rPr>
                <w:spacing w:val="-3"/>
              </w:rPr>
              <w:t xml:space="preserve">February 28, 2026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756"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Basic Share Capitalization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Assuming No</w:t>
            </w:r>
            <w:r>
              <w:rPr/>
              <w:t xml:space="preserve"> </w:t>
              <w:br/>
            </w:r>
            <w:r>
              <w:rPr>
                <w:spacing w:val="-3"/>
              </w:rPr>
              <w:t xml:space="preserve">Redemptions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2"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 Ownership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Assuming No</w:t>
            </w:r>
            <w:r>
              <w:rPr/>
              <w:t xml:space="preserve"> </w:t>
              <w:br/>
            </w:r>
            <w:r>
              <w:rPr>
                <w:spacing w:val="-3"/>
              </w:rPr>
              <w:t xml:space="preserve">Redemptions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2"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 Ownership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756" w:type="dxa"/>
            <w:tcBorders/>
            <w:shd w:fill="CCEEFF" w:val="clear"/>
            <w:tcMar>
              <w:bottom w:w="0" w:type="dxa"/>
            </w:tcMar>
            <w:vAlign w:val="center"/>
          </w:tcPr>
          <w:p>
            <w:pPr>
              <w:pStyle w:val="TableContents"/>
              <w:bidi w:val="0"/>
              <w:spacing w:before="0" w:after="0"/>
              <w:jc w:val="left"/>
              <w:rPr>
                <w:spacing w:val="4"/>
              </w:rPr>
            </w:pPr>
            <w:r>
              <w:rPr>
                <w:spacing w:val="4"/>
              </w:rPr>
              <w:t xml:space="preserve">Eagle Energy (Target)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21,638,289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67.45%</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21,638,289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67.45%</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756" w:type="dxa"/>
            <w:tcBorders/>
            <w:tcMar>
              <w:bottom w:w="0" w:type="dxa"/>
            </w:tcMar>
            <w:vAlign w:val="center"/>
          </w:tcPr>
          <w:p>
            <w:pPr>
              <w:pStyle w:val="TableContents"/>
              <w:bidi w:val="0"/>
              <w:spacing w:before="0" w:after="0"/>
              <w:jc w:val="left"/>
              <w:rPr>
                <w:spacing w:val="4"/>
              </w:rPr>
            </w:pPr>
            <w:r>
              <w:rPr>
                <w:spacing w:val="4"/>
              </w:rPr>
              <w:t xml:space="preserve">SVII Public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410,171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1.28%</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410,051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1.28%</w:t>
            </w:r>
          </w:p>
        </w:tc>
        <w:tc>
          <w:tcPr>
            <w:tcW w:w="14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NRA Investors – shares transferred from Sponsor to settle non-redemption agreements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691,666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2.16%</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691,666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2.16%</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756" w:type="dxa"/>
            <w:tcBorders/>
            <w:tcMar>
              <w:bottom w:w="0" w:type="dxa"/>
            </w:tcMar>
            <w:vAlign w:val="center"/>
          </w:tcPr>
          <w:p>
            <w:pPr>
              <w:pStyle w:val="TableContents"/>
              <w:bidi w:val="0"/>
              <w:spacing w:before="0" w:after="0"/>
              <w:jc w:val="left"/>
              <w:rPr>
                <w:spacing w:val="4"/>
              </w:rPr>
            </w:pPr>
            <w:r>
              <w:rPr>
                <w:spacing w:val="4"/>
              </w:rPr>
              <w:t xml:space="preserve">Independent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120,000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0.37%</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120,000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0.37%</w:t>
            </w:r>
          </w:p>
        </w:tc>
        <w:tc>
          <w:tcPr>
            <w:tcW w:w="14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756" w:type="dxa"/>
            <w:tcBorders/>
            <w:shd w:fill="CCEEFF" w:val="clear"/>
            <w:tcMar>
              <w:bottom w:w="0" w:type="dxa"/>
            </w:tcMar>
            <w:vAlign w:val="center"/>
          </w:tcPr>
          <w:p>
            <w:pPr>
              <w:pStyle w:val="TableContents"/>
              <w:bidi w:val="0"/>
              <w:spacing w:before="0" w:after="0"/>
              <w:jc w:val="left"/>
              <w:rPr>
                <w:spacing w:val="4"/>
              </w:rPr>
            </w:pPr>
            <w:r>
              <w:rPr>
                <w:spacing w:val="4"/>
              </w:rPr>
              <w:t xml:space="preserve">SVII Public Rights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2,299,982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7.17%</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2,299,982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7.17%</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756" w:type="dxa"/>
            <w:tcBorders/>
            <w:tcMar>
              <w:bottom w:w="0" w:type="dxa"/>
            </w:tcMar>
            <w:vAlign w:val="center"/>
          </w:tcPr>
          <w:p>
            <w:pPr>
              <w:pStyle w:val="TableContents"/>
              <w:bidi w:val="0"/>
              <w:spacing w:before="0" w:after="0"/>
              <w:jc w:val="left"/>
              <w:rPr>
                <w:spacing w:val="4"/>
              </w:rPr>
            </w:pPr>
            <w:r>
              <w:rPr>
                <w:spacing w:val="4"/>
              </w:rPr>
              <w:t xml:space="preserve">PIPE Investor – Series A Preferred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2,500,000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7.79%</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2,500,000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7.79%</w:t>
            </w:r>
          </w:p>
        </w:tc>
        <w:tc>
          <w:tcPr>
            <w:tcW w:w="14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Aurora Energy – Option payment for Oregon Energy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1,710,991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5.33%</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1,710,991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5.33%</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756" w:type="dxa"/>
            <w:tcBorders/>
            <w:tcMar>
              <w:bottom w:w="0" w:type="dxa"/>
            </w:tcMar>
            <w:vAlign w:val="center"/>
          </w:tcPr>
          <w:p>
            <w:pPr>
              <w:pStyle w:val="TableContents"/>
              <w:bidi w:val="0"/>
              <w:spacing w:before="0" w:after="0"/>
              <w:jc w:val="left"/>
              <w:rPr>
                <w:spacing w:val="4"/>
              </w:rPr>
            </w:pPr>
            <w:r>
              <w:rPr>
                <w:spacing w:val="4"/>
              </w:rPr>
              <w:t xml:space="preserve">Sponsor Promote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7,666,667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23.90%</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7,666,667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23.90%</w:t>
            </w:r>
          </w:p>
        </w:tc>
        <w:tc>
          <w:tcPr>
            <w:tcW w:w="14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756" w:type="dxa"/>
            <w:tcBorders/>
            <w:shd w:fill="CCEEFF" w:val="clear"/>
            <w:tcMar>
              <w:bottom w:w="0" w:type="dxa"/>
            </w:tcMar>
            <w:vAlign w:val="center"/>
          </w:tcPr>
          <w:p>
            <w:pPr>
              <w:pStyle w:val="TableContents"/>
              <w:bidi w:val="0"/>
              <w:spacing w:before="0" w:after="0"/>
              <w:jc w:val="left"/>
              <w:rPr>
                <w:spacing w:val="4"/>
              </w:rPr>
            </w:pPr>
            <w:r>
              <w:rPr>
                <w:spacing w:val="4"/>
              </w:rPr>
              <w:t xml:space="preserve">Sponsor Forfeited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(5,258,333)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(16.39)%</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(5,258,333)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(16.39)%</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756" w:type="dxa"/>
            <w:tcBorders>
              <w:bottom w:val="single" w:sz="2" w:space="0" w:color="FFFFFF"/>
            </w:tcBorders>
            <w:tcMar>
              <w:bottom w:w="37" w:type="dxa"/>
            </w:tcMar>
            <w:vAlign w:val="center"/>
          </w:tcPr>
          <w:p>
            <w:pPr>
              <w:pStyle w:val="TableContents"/>
              <w:bidi w:val="0"/>
              <w:spacing w:before="0" w:after="0"/>
              <w:ind w:left="200" w:right="0" w:hanging="200"/>
              <w:jc w:val="left"/>
              <w:rPr>
                <w:spacing w:val="4"/>
              </w:rPr>
            </w:pPr>
            <w:r>
              <w:rPr>
                <w:spacing w:val="4"/>
              </w:rPr>
              <w:t xml:space="preserve">Shares Issued for the Transaction – SVII Service Provider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187" w:type="dxa"/>
            <w:tcBorders>
              <w:bottom w:val="single" w:sz="2" w:space="0" w:color="000000"/>
            </w:tcBorders>
            <w:tcMar>
              <w:bottom w:w="37" w:type="dxa"/>
            </w:tcMar>
            <w:vAlign w:val="center"/>
          </w:tcPr>
          <w:p>
            <w:pPr>
              <w:pStyle w:val="TableContents"/>
              <w:bidi w:val="0"/>
              <w:spacing w:before="0" w:after="283"/>
              <w:jc w:val="right"/>
              <w:rPr/>
            </w:pPr>
            <w:r>
              <w:rPr/>
              <w:t>300,000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 w:type="dxa"/>
            <w:tcBorders>
              <w:bottom w:val="single" w:sz="2" w:space="0" w:color="FFFFFF"/>
            </w:tcBorders>
            <w:vAlign w:val="center"/>
          </w:tcPr>
          <w:p>
            <w:pPr>
              <w:pStyle w:val="TableContents"/>
              <w:bidi w:val="0"/>
              <w:spacing w:before="0" w:after="283"/>
              <w:jc w:val="left"/>
              <w:rPr/>
            </w:pPr>
            <w:r>
              <w:rPr/>
              <w:t>​</w:t>
            </w:r>
          </w:p>
        </w:tc>
        <w:tc>
          <w:tcPr>
            <w:tcW w:w="137" w:type="dxa"/>
            <w:tcBorders>
              <w:bottom w:val="single" w:sz="2" w:space="0" w:color="000000"/>
            </w:tcBorders>
            <w:tcMar>
              <w:bottom w:w="37" w:type="dxa"/>
            </w:tcMar>
            <w:vAlign w:val="center"/>
          </w:tcPr>
          <w:p>
            <w:pPr>
              <w:pStyle w:val="TableContents"/>
              <w:bidi w:val="0"/>
              <w:spacing w:before="0" w:after="283"/>
              <w:jc w:val="right"/>
              <w:rPr/>
            </w:pPr>
            <w:r>
              <w:rPr/>
              <w:t>​</w:t>
            </w:r>
          </w:p>
        </w:tc>
        <w:tc>
          <w:tcPr>
            <w:tcW w:w="968" w:type="dxa"/>
            <w:tcBorders>
              <w:bottom w:val="single" w:sz="2" w:space="0" w:color="000000"/>
            </w:tcBorders>
            <w:tcMar>
              <w:bottom w:w="37" w:type="dxa"/>
            </w:tcMar>
            <w:vAlign w:val="center"/>
          </w:tcPr>
          <w:p>
            <w:pPr>
              <w:pStyle w:val="TableContents"/>
              <w:bidi w:val="0"/>
              <w:spacing w:before="0" w:after="283"/>
              <w:jc w:val="right"/>
              <w:rPr/>
            </w:pPr>
            <w:r>
              <w:rPr/>
              <w:t>0.94%</w:t>
            </w:r>
          </w:p>
        </w:tc>
        <w:tc>
          <w:tcPr>
            <w:tcW w:w="1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187" w:type="dxa"/>
            <w:tcBorders>
              <w:bottom w:val="single" w:sz="2" w:space="0" w:color="000000"/>
            </w:tcBorders>
            <w:tcMar>
              <w:bottom w:w="37" w:type="dxa"/>
            </w:tcMar>
            <w:vAlign w:val="center"/>
          </w:tcPr>
          <w:p>
            <w:pPr>
              <w:pStyle w:val="TableContents"/>
              <w:bidi w:val="0"/>
              <w:spacing w:before="0" w:after="283"/>
              <w:jc w:val="right"/>
              <w:rPr/>
            </w:pPr>
            <w:r>
              <w:rPr/>
              <w:t>300,000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 w:type="dxa"/>
            <w:tcBorders>
              <w:bottom w:val="single" w:sz="2" w:space="0" w:color="FFFFFF"/>
            </w:tcBorders>
            <w:vAlign w:val="center"/>
          </w:tcPr>
          <w:p>
            <w:pPr>
              <w:pStyle w:val="TableContents"/>
              <w:bidi w:val="0"/>
              <w:spacing w:before="0" w:after="283"/>
              <w:jc w:val="left"/>
              <w:rPr/>
            </w:pPr>
            <w:r>
              <w:rPr/>
              <w:t>​</w:t>
            </w:r>
          </w:p>
        </w:tc>
        <w:tc>
          <w:tcPr>
            <w:tcW w:w="137" w:type="dxa"/>
            <w:tcBorders>
              <w:bottom w:val="single" w:sz="2" w:space="0" w:color="000000"/>
            </w:tcBorders>
            <w:tcMar>
              <w:bottom w:w="37" w:type="dxa"/>
            </w:tcMar>
            <w:vAlign w:val="center"/>
          </w:tcPr>
          <w:p>
            <w:pPr>
              <w:pStyle w:val="TableContents"/>
              <w:bidi w:val="0"/>
              <w:spacing w:before="0" w:after="283"/>
              <w:jc w:val="right"/>
              <w:rPr/>
            </w:pPr>
            <w:r>
              <w:rPr/>
              <w:t>​</w:t>
            </w:r>
          </w:p>
        </w:tc>
        <w:tc>
          <w:tcPr>
            <w:tcW w:w="968" w:type="dxa"/>
            <w:tcBorders>
              <w:bottom w:val="single" w:sz="2" w:space="0" w:color="000000"/>
            </w:tcBorders>
            <w:tcMar>
              <w:bottom w:w="37" w:type="dxa"/>
            </w:tcMar>
            <w:vAlign w:val="center"/>
          </w:tcPr>
          <w:p>
            <w:pPr>
              <w:pStyle w:val="TableContents"/>
              <w:bidi w:val="0"/>
              <w:spacing w:before="0" w:after="283"/>
              <w:jc w:val="right"/>
              <w:rPr/>
            </w:pPr>
            <w:r>
              <w:rPr/>
              <w:t>0.94%</w:t>
            </w:r>
          </w:p>
        </w:tc>
        <w:tc>
          <w:tcPr>
            <w:tcW w:w="140"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756" w:type="dxa"/>
            <w:tcBorders/>
            <w:shd w:fill="CCEEFF" w:val="clear"/>
            <w:tcMar>
              <w:bottom w:w="0" w:type="dxa"/>
            </w:tcMar>
            <w:vAlign w:val="center"/>
          </w:tcPr>
          <w:p>
            <w:pPr>
              <w:pStyle w:val="TableContents"/>
              <w:bidi w:val="0"/>
              <w:spacing w:before="0" w:after="0"/>
              <w:jc w:val="left"/>
              <w:rPr/>
            </w:pPr>
            <w:r>
              <w:rPr>
                <w:spacing w:val="-4"/>
              </w:rPr>
              <w:t>Pro forma WASO – Basic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32,079,433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0"/>
              <w:jc w:val="right"/>
              <w:rPr/>
            </w:pPr>
            <w:r>
              <w:rPr/>
              <w:t>​</w:t>
            </w:r>
          </w:p>
        </w:tc>
        <w:tc>
          <w:tcPr>
            <w:tcW w:w="968" w:type="dxa"/>
            <w:tcBorders/>
            <w:shd w:fill="CCEEFF" w:val="clear"/>
            <w:tcMar>
              <w:bottom w:w="0" w:type="dxa"/>
            </w:tcMar>
            <w:vAlign w:val="center"/>
          </w:tcPr>
          <w:p>
            <w:pPr>
              <w:pStyle w:val="TableContents"/>
              <w:bidi w:val="0"/>
              <w:spacing w:before="0" w:after="0"/>
              <w:jc w:val="right"/>
              <w:rPr>
                <w:b w:val="false"/>
              </w:rPr>
            </w:pPr>
            <w:r>
              <w:rPr>
                <w:b w:val="false"/>
              </w:rPr>
              <w:t>100.00%</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32,079,313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0"/>
              <w:jc w:val="right"/>
              <w:rPr/>
            </w:pPr>
            <w:r>
              <w:rPr/>
              <w:t>​</w:t>
            </w:r>
          </w:p>
        </w:tc>
        <w:tc>
          <w:tcPr>
            <w:tcW w:w="968" w:type="dxa"/>
            <w:tcBorders/>
            <w:shd w:fill="CCEEFF" w:val="clear"/>
            <w:tcMar>
              <w:bottom w:w="0" w:type="dxa"/>
            </w:tcMar>
            <w:vAlign w:val="center"/>
          </w:tcPr>
          <w:p>
            <w:pPr>
              <w:pStyle w:val="TableContents"/>
              <w:bidi w:val="0"/>
              <w:spacing w:before="0" w:after="0"/>
              <w:jc w:val="right"/>
              <w:rPr>
                <w:b w:val="false"/>
              </w:rPr>
            </w:pPr>
            <w:r>
              <w:rPr>
                <w:b w:val="false"/>
              </w:rPr>
              <w:t>100.00%</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756" w:type="dxa"/>
            <w:tcBorders>
              <w:bottom w:val="single" w:sz="2" w:space="0" w:color="FFFFFF"/>
            </w:tcBorders>
            <w:tcMar>
              <w:bottom w:w="37" w:type="dxa"/>
            </w:tcMar>
            <w:vAlign w:val="center"/>
          </w:tcPr>
          <w:p>
            <w:pPr>
              <w:pStyle w:val="TableContents"/>
              <w:bidi w:val="0"/>
              <w:spacing w:before="0" w:after="0"/>
              <w:ind w:left="200" w:right="0" w:hanging="200"/>
              <w:jc w:val="left"/>
              <w:rPr>
                <w:spacing w:val="4"/>
              </w:rPr>
            </w:pPr>
            <w:r>
              <w:rPr>
                <w:spacing w:val="4"/>
              </w:rPr>
              <w:t xml:space="preserve">Less: participating preferred stock, for net loss scenario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187" w:type="dxa"/>
            <w:tcBorders>
              <w:bottom w:val="single" w:sz="2" w:space="0" w:color="000000"/>
            </w:tcBorders>
            <w:tcMar>
              <w:bottom w:w="37" w:type="dxa"/>
            </w:tcMar>
            <w:vAlign w:val="center"/>
          </w:tcPr>
          <w:p>
            <w:pPr>
              <w:pStyle w:val="TableContents"/>
              <w:bidi w:val="0"/>
              <w:spacing w:before="0" w:after="283"/>
              <w:jc w:val="right"/>
              <w:rPr/>
            </w:pPr>
            <w:r>
              <w:rPr/>
              <w:t>(2,500,000)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 w:type="dxa"/>
            <w:tcBorders>
              <w:bottom w:val="single" w:sz="2" w:space="0" w:color="FFFFFF"/>
            </w:tcBorders>
            <w:vAlign w:val="center"/>
          </w:tcPr>
          <w:p>
            <w:pPr>
              <w:pStyle w:val="TableContents"/>
              <w:bidi w:val="0"/>
              <w:spacing w:before="0" w:after="283"/>
              <w:jc w:val="left"/>
              <w:rPr/>
            </w:pPr>
            <w:r>
              <w:rPr/>
              <w:t>​</w:t>
            </w:r>
          </w:p>
        </w:tc>
        <w:tc>
          <w:tcPr>
            <w:tcW w:w="137" w:type="dxa"/>
            <w:tcBorders>
              <w:bottom w:val="single" w:sz="2" w:space="0" w:color="FFFFFF"/>
            </w:tcBorders>
            <w:vAlign w:val="center"/>
          </w:tcPr>
          <w:p>
            <w:pPr>
              <w:pStyle w:val="TableContents"/>
              <w:bidi w:val="0"/>
              <w:spacing w:before="0" w:after="283"/>
              <w:jc w:val="right"/>
              <w:rPr/>
            </w:pPr>
            <w:r>
              <w:rPr/>
              <w:t>​</w:t>
            </w:r>
          </w:p>
        </w:tc>
        <w:tc>
          <w:tcPr>
            <w:tcW w:w="968" w:type="dxa"/>
            <w:tcBorders>
              <w:bottom w:val="single" w:sz="2" w:space="0" w:color="FFFFFF"/>
            </w:tcBorders>
            <w:vAlign w:val="center"/>
          </w:tcPr>
          <w:p>
            <w:pPr>
              <w:pStyle w:val="TableContents"/>
              <w:bidi w:val="0"/>
              <w:spacing w:before="0" w:after="283"/>
              <w:jc w:val="right"/>
              <w:rPr/>
            </w:pPr>
            <w:r>
              <w:rPr/>
              <w:t>​</w:t>
            </w:r>
          </w:p>
        </w:tc>
        <w:tc>
          <w:tcPr>
            <w:tcW w:w="1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187" w:type="dxa"/>
            <w:tcBorders>
              <w:bottom w:val="single" w:sz="2" w:space="0" w:color="000000"/>
            </w:tcBorders>
            <w:tcMar>
              <w:bottom w:w="37" w:type="dxa"/>
            </w:tcMar>
            <w:vAlign w:val="center"/>
          </w:tcPr>
          <w:p>
            <w:pPr>
              <w:pStyle w:val="TableContents"/>
              <w:bidi w:val="0"/>
              <w:spacing w:before="0" w:after="283"/>
              <w:jc w:val="right"/>
              <w:rPr/>
            </w:pPr>
            <w:r>
              <w:rPr/>
              <w:t>(2,500,000)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 w:type="dxa"/>
            <w:tcBorders>
              <w:bottom w:val="single" w:sz="2" w:space="0" w:color="FFFFFF"/>
            </w:tcBorders>
            <w:vAlign w:val="center"/>
          </w:tcPr>
          <w:p>
            <w:pPr>
              <w:pStyle w:val="TableContents"/>
              <w:bidi w:val="0"/>
              <w:spacing w:before="0" w:after="283"/>
              <w:jc w:val="left"/>
              <w:rPr/>
            </w:pPr>
            <w:r>
              <w:rPr/>
              <w:t>​</w:t>
            </w:r>
          </w:p>
        </w:tc>
        <w:tc>
          <w:tcPr>
            <w:tcW w:w="137" w:type="dxa"/>
            <w:tcBorders>
              <w:bottom w:val="single" w:sz="2" w:space="0" w:color="FFFFFF"/>
            </w:tcBorders>
            <w:vAlign w:val="center"/>
          </w:tcPr>
          <w:p>
            <w:pPr>
              <w:pStyle w:val="TableContents"/>
              <w:bidi w:val="0"/>
              <w:spacing w:before="0" w:after="283"/>
              <w:jc w:val="right"/>
              <w:rPr/>
            </w:pPr>
            <w:r>
              <w:rPr/>
              <w:t>​</w:t>
            </w:r>
          </w:p>
        </w:tc>
        <w:tc>
          <w:tcPr>
            <w:tcW w:w="968" w:type="dxa"/>
            <w:tcBorders>
              <w:bottom w:val="single" w:sz="2" w:space="0" w:color="FFFFFF"/>
            </w:tcBorders>
            <w:vAlign w:val="center"/>
          </w:tcPr>
          <w:p>
            <w:pPr>
              <w:pStyle w:val="TableContents"/>
              <w:bidi w:val="0"/>
              <w:spacing w:before="0" w:after="283"/>
              <w:jc w:val="right"/>
              <w:rPr/>
            </w:pPr>
            <w:r>
              <w:rPr/>
              <w:t>​</w:t>
            </w:r>
          </w:p>
        </w:tc>
        <w:tc>
          <w:tcPr>
            <w:tcW w:w="140"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756" w:type="dxa"/>
            <w:tcBorders/>
            <w:shd w:fill="CCEEFF" w:val="clear"/>
            <w:tcMar>
              <w:bottom w:w="0" w:type="dxa"/>
            </w:tcMar>
            <w:vAlign w:val="center"/>
          </w:tcPr>
          <w:p>
            <w:pPr>
              <w:pStyle w:val="TableContents"/>
              <w:bidi w:val="0"/>
              <w:spacing w:before="0" w:after="0"/>
              <w:jc w:val="left"/>
              <w:rPr/>
            </w:pPr>
            <w:r>
              <w:rPr>
                <w:spacing w:val="-4"/>
              </w:rPr>
              <w:t>Denominator, WASO – Basic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29,579,433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29,579,313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756" w:type="dxa"/>
            <w:tcBorders/>
            <w:tcMar>
              <w:bottom w:w="0" w:type="dxa"/>
            </w:tcMar>
            <w:vAlign w:val="center"/>
          </w:tcPr>
          <w:p>
            <w:pPr>
              <w:pStyle w:val="TableContents"/>
              <w:bidi w:val="0"/>
              <w:spacing w:before="0" w:after="283"/>
              <w:jc w:val="left"/>
              <w:rPr/>
            </w:pPr>
            <w:r>
              <w:rPr>
                <w:spacing w:val="-4"/>
              </w:rPr>
              <w:t>For the twelve months ended November 30, 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756" w:type="dxa"/>
            <w:tcBorders/>
            <w:shd w:fill="CCEEFF" w:val="clear"/>
            <w:tcMar>
              <w:bottom w:w="0" w:type="dxa"/>
            </w:tcMar>
            <w:vAlign w:val="center"/>
          </w:tcPr>
          <w:p>
            <w:pPr>
              <w:pStyle w:val="TableContents"/>
              <w:bidi w:val="0"/>
              <w:spacing w:before="0" w:after="0"/>
              <w:ind w:left="200" w:right="0" w:hanging="200"/>
              <w:jc w:val="left"/>
              <w:rPr/>
            </w:pPr>
            <w:r>
              <w:rPr>
                <w:spacing w:val="4"/>
              </w:rPr>
              <w:t>Pro forma net loss attributable to common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(9,230,810)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756" w:type="dxa"/>
            <w:tcBorders/>
            <w:tcMar>
              <w:bottom w:w="0" w:type="dxa"/>
            </w:tcMar>
            <w:vAlign w:val="center"/>
          </w:tcPr>
          <w:p>
            <w:pPr>
              <w:pStyle w:val="TableContents"/>
              <w:bidi w:val="0"/>
              <w:spacing w:before="0" w:after="0"/>
              <w:jc w:val="left"/>
              <w:rPr/>
            </w:pPr>
            <w:r>
              <w:rPr>
                <w:spacing w:val="4"/>
              </w:rPr>
              <w:t>Pro Forma Loss Per Share – Basic and Diluted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756" w:type="dxa"/>
            <w:tcBorders/>
            <w:shd w:fill="CCEEFF" w:val="clear"/>
            <w:tcMar>
              <w:bottom w:w="0" w:type="dxa"/>
            </w:tcMar>
            <w:vAlign w:val="center"/>
          </w:tcPr>
          <w:p>
            <w:pPr>
              <w:pStyle w:val="TableContents"/>
              <w:bidi w:val="0"/>
              <w:spacing w:before="0" w:after="283"/>
              <w:jc w:val="left"/>
              <w:rPr/>
            </w:pPr>
            <w:r>
              <w:rPr>
                <w:spacing w:val="-4"/>
              </w:rPr>
              <w:t>For the three months ended February 28, 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756" w:type="dxa"/>
            <w:tcBorders/>
            <w:tcMar>
              <w:bottom w:w="0" w:type="dxa"/>
            </w:tcMar>
            <w:vAlign w:val="center"/>
          </w:tcPr>
          <w:p>
            <w:pPr>
              <w:pStyle w:val="TableContents"/>
              <w:bidi w:val="0"/>
              <w:spacing w:before="0" w:after="0"/>
              <w:ind w:left="200" w:right="0" w:hanging="200"/>
              <w:jc w:val="left"/>
              <w:rPr/>
            </w:pPr>
            <w:r>
              <w:rPr>
                <w:spacing w:val="4"/>
              </w:rPr>
              <w:t>Pro forma net loss attributable to common stockholders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(2,326,373)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756" w:type="dxa"/>
            <w:tcBorders/>
            <w:shd w:fill="CCEEFF" w:val="clear"/>
            <w:tcMar>
              <w:bottom w:w="0" w:type="dxa"/>
            </w:tcMar>
            <w:vAlign w:val="center"/>
          </w:tcPr>
          <w:p>
            <w:pPr>
              <w:pStyle w:val="TableContents"/>
              <w:bidi w:val="0"/>
              <w:spacing w:before="0" w:after="0"/>
              <w:jc w:val="left"/>
              <w:rPr/>
            </w:pPr>
            <w:r>
              <w:rPr>
                <w:spacing w:val="4"/>
              </w:rPr>
              <w:t>Pro Forma Loss Per Share – Basic and Diluted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Oregon Transaction and related transactions, the post-Closing share ownership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5422"/>
        <w:gridCol w:w="109"/>
        <w:gridCol w:w="109"/>
        <w:gridCol w:w="109"/>
        <w:gridCol w:w="109"/>
        <w:gridCol w:w="1186"/>
        <w:gridCol w:w="109"/>
        <w:gridCol w:w="109"/>
        <w:gridCol w:w="109"/>
        <w:gridCol w:w="109"/>
        <w:gridCol w:w="109"/>
        <w:gridCol w:w="959"/>
        <w:gridCol w:w="109"/>
        <w:gridCol w:w="155"/>
      </w:tblGrid>
      <w:tr>
        <w:trPr/>
        <w:tc>
          <w:tcPr>
            <w:tcW w:w="54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17"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redemptions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0"/>
              <w:jc w:val="left"/>
              <w:rPr>
                <w:spacing w:val="4"/>
              </w:rPr>
            </w:pPr>
            <w:r>
              <w:rPr>
                <w:spacing w:val="4"/>
              </w:rPr>
              <w:t xml:space="preserve">SVII public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410,051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59" w:type="dxa"/>
            <w:tcBorders/>
            <w:shd w:fill="CCEEFF" w:val="clear"/>
            <w:tcMar>
              <w:bottom w:w="0" w:type="dxa"/>
            </w:tcMar>
            <w:vAlign w:val="center"/>
          </w:tcPr>
          <w:p>
            <w:pPr>
              <w:pStyle w:val="TableContents"/>
              <w:bidi w:val="0"/>
              <w:spacing w:before="0" w:after="283"/>
              <w:jc w:val="right"/>
              <w:rPr/>
            </w:pPr>
            <w:r>
              <w:rPr/>
              <w:t>1.28%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spacing w:val="4"/>
              </w:rPr>
            </w:pPr>
            <w:r>
              <w:rPr>
                <w:spacing w:val="4"/>
              </w:rPr>
              <w:t xml:space="preserve">SVII public shareholders – non-redemption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691,666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59" w:type="dxa"/>
            <w:tcBorders/>
            <w:tcMar>
              <w:bottom w:w="0" w:type="dxa"/>
            </w:tcMar>
            <w:vAlign w:val="center"/>
          </w:tcPr>
          <w:p>
            <w:pPr>
              <w:pStyle w:val="TableContents"/>
              <w:bidi w:val="0"/>
              <w:spacing w:before="0" w:after="283"/>
              <w:jc w:val="right"/>
              <w:rPr/>
            </w:pPr>
            <w:r>
              <w:rPr/>
              <w:t>2.16%</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0"/>
              <w:jc w:val="left"/>
              <w:rPr>
                <w:spacing w:val="4"/>
              </w:rPr>
            </w:pPr>
            <w:r>
              <w:rPr>
                <w:spacing w:val="4"/>
              </w:rPr>
              <w:t xml:space="preserve">Sponsor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2,408,334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59" w:type="dxa"/>
            <w:tcBorders/>
            <w:shd w:fill="CCEEFF" w:val="clear"/>
            <w:tcMar>
              <w:bottom w:w="0" w:type="dxa"/>
            </w:tcMar>
            <w:vAlign w:val="center"/>
          </w:tcPr>
          <w:p>
            <w:pPr>
              <w:pStyle w:val="TableContents"/>
              <w:bidi w:val="0"/>
              <w:spacing w:before="0" w:after="283"/>
              <w:jc w:val="right"/>
              <w:rPr/>
            </w:pPr>
            <w:r>
              <w:rPr/>
              <w:t>7.51%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spacing w:val="4"/>
              </w:rPr>
            </w:pPr>
            <w:r>
              <w:rPr>
                <w:spacing w:val="4"/>
              </w:rPr>
              <w:t xml:space="preserve">Independent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59" w:type="dxa"/>
            <w:tcBorders/>
            <w:tcMar>
              <w:bottom w:w="0" w:type="dxa"/>
            </w:tcMar>
            <w:vAlign w:val="center"/>
          </w:tcPr>
          <w:p>
            <w:pPr>
              <w:pStyle w:val="TableContents"/>
              <w:bidi w:val="0"/>
              <w:spacing w:before="0" w:after="283"/>
              <w:jc w:val="right"/>
              <w:rPr/>
            </w:pPr>
            <w:r>
              <w:rPr/>
              <w:t>0.37%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0"/>
              <w:jc w:val="left"/>
              <w:rPr>
                <w:spacing w:val="4"/>
              </w:rPr>
            </w:pPr>
            <w:r>
              <w:rPr>
                <w:spacing w:val="4"/>
              </w:rPr>
              <w:t xml:space="preserve">Public Rights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2,299,982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59" w:type="dxa"/>
            <w:tcBorders/>
            <w:shd w:fill="CCEEFF" w:val="clear"/>
            <w:tcMar>
              <w:bottom w:w="0" w:type="dxa"/>
            </w:tcMar>
            <w:vAlign w:val="center"/>
          </w:tcPr>
          <w:p>
            <w:pPr>
              <w:pStyle w:val="TableContents"/>
              <w:bidi w:val="0"/>
              <w:spacing w:before="0" w:after="283"/>
              <w:jc w:val="right"/>
              <w:rPr/>
            </w:pPr>
            <w:r>
              <w:rPr/>
              <w:t>7.17%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spacing w:val="4"/>
              </w:rPr>
            </w:pPr>
            <w:r>
              <w:rPr>
                <w:spacing w:val="4"/>
              </w:rPr>
              <w:t xml:space="preserve">Eagle Energy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21,638,289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59" w:type="dxa"/>
            <w:tcBorders/>
            <w:tcMar>
              <w:bottom w:w="0" w:type="dxa"/>
            </w:tcMar>
            <w:vAlign w:val="center"/>
          </w:tcPr>
          <w:p>
            <w:pPr>
              <w:pStyle w:val="TableContents"/>
              <w:bidi w:val="0"/>
              <w:spacing w:before="0" w:after="283"/>
              <w:jc w:val="right"/>
              <w:rPr/>
            </w:pPr>
            <w:r>
              <w:rPr/>
              <w:t>67.45%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0"/>
              <w:jc w:val="left"/>
              <w:rPr>
                <w:spacing w:val="4"/>
              </w:rPr>
            </w:pPr>
            <w:r>
              <w:rPr>
                <w:spacing w:val="4"/>
              </w:rPr>
              <w:t xml:space="preserve">PIPE Investor, Series A preferred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59" w:type="dxa"/>
            <w:tcBorders/>
            <w:shd w:fill="CCEEFF" w:val="clear"/>
            <w:tcMar>
              <w:bottom w:w="0" w:type="dxa"/>
            </w:tcMar>
            <w:vAlign w:val="center"/>
          </w:tcPr>
          <w:p>
            <w:pPr>
              <w:pStyle w:val="TableContents"/>
              <w:bidi w:val="0"/>
              <w:spacing w:before="0" w:after="283"/>
              <w:jc w:val="right"/>
              <w:rPr/>
            </w:pPr>
            <w:r>
              <w:rPr/>
              <w:t>7.79%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spacing w:val="4"/>
              </w:rPr>
            </w:pPr>
            <w:r>
              <w:rPr>
                <w:spacing w:val="4"/>
              </w:rPr>
              <w:t xml:space="preserve">Aurora Energy, acquisition of Oregon Energy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1,710,991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59" w:type="dxa"/>
            <w:tcBorders/>
            <w:tcMar>
              <w:bottom w:w="0" w:type="dxa"/>
            </w:tcMar>
            <w:vAlign w:val="center"/>
          </w:tcPr>
          <w:p>
            <w:pPr>
              <w:pStyle w:val="TableContents"/>
              <w:bidi w:val="0"/>
              <w:spacing w:before="0" w:after="283"/>
              <w:jc w:val="right"/>
              <w:rPr/>
            </w:pPr>
            <w:r>
              <w:rPr/>
              <w:t>5.33%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2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Shares issued to SVII Service Provider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300,000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9" w:type="dxa"/>
            <w:tcBorders>
              <w:bottom w:val="single" w:sz="2" w:space="0" w:color="000000"/>
            </w:tcBorders>
            <w:shd w:fill="CCEEFF" w:val="clear"/>
            <w:tcMar>
              <w:bottom w:w="50" w:type="dxa"/>
            </w:tcMar>
            <w:vAlign w:val="center"/>
          </w:tcPr>
          <w:p>
            <w:pPr>
              <w:pStyle w:val="TableContents"/>
              <w:bidi w:val="0"/>
              <w:spacing w:before="0" w:after="283"/>
              <w:jc w:val="right"/>
              <w:rPr/>
            </w:pPr>
            <w:r>
              <w:rPr/>
              <w:t>0.94%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32,079,313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959" w:type="dxa"/>
            <w:tcBorders>
              <w:bottom w:val="double" w:sz="8" w:space="0" w:color="000000"/>
            </w:tcBorders>
            <w:tcMar>
              <w:bottom w:w="5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283"/>
              <w:jc w:val="left"/>
              <w:rPr/>
            </w:pPr>
            <w:r>
              <w:rPr>
                <w:spacing w:val="4"/>
              </w:rPr>
              <w:t>Potential sources of dilution: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5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spacing w:val="4"/>
              </w:rPr>
            </w:pPr>
            <w:r>
              <w:rPr>
                <w:spacing w:val="4"/>
              </w:rPr>
              <w:t xml:space="preserve">Public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59" w:type="dxa"/>
            <w:tcBorders/>
            <w:tcMar>
              <w:bottom w:w="0" w:type="dxa"/>
            </w:tcMar>
            <w:vAlign w:val="center"/>
          </w:tcPr>
          <w:p>
            <w:pPr>
              <w:pStyle w:val="TableContents"/>
              <w:bidi w:val="0"/>
              <w:spacing w:before="0" w:after="283"/>
              <w:jc w:val="right"/>
              <w:rPr/>
            </w:pPr>
            <w:r>
              <w:rPr/>
              <w:t>35.85%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0"/>
              <w:jc w:val="left"/>
              <w:rPr>
                <w:spacing w:val="4"/>
              </w:rPr>
            </w:pPr>
            <w:r>
              <w:rPr>
                <w:spacing w:val="4"/>
              </w:rPr>
              <w:t xml:space="preserve">Sponsor 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59" w:type="dxa"/>
            <w:tcBorders/>
            <w:shd w:fill="CCEEFF" w:val="clear"/>
            <w:tcMar>
              <w:bottom w:w="0" w:type="dxa"/>
            </w:tcMar>
            <w:vAlign w:val="center"/>
          </w:tcPr>
          <w:p>
            <w:pPr>
              <w:pStyle w:val="TableContents"/>
              <w:bidi w:val="0"/>
              <w:spacing w:before="0" w:after="283"/>
              <w:jc w:val="right"/>
              <w:rPr/>
            </w:pPr>
            <w:r>
              <w:rPr/>
              <w:t>21.82%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spacing w:val="4"/>
              </w:rPr>
            </w:pPr>
            <w:r>
              <w:rPr>
                <w:spacing w:val="4"/>
              </w:rPr>
              <w:t xml:space="preserve">Sponsor Warrants converted from promissory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2,422,133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59" w:type="dxa"/>
            <w:tcBorders/>
            <w:tcMar>
              <w:bottom w:w="0" w:type="dxa"/>
            </w:tcMar>
            <w:vAlign w:val="center"/>
          </w:tcPr>
          <w:p>
            <w:pPr>
              <w:pStyle w:val="TableContents"/>
              <w:bidi w:val="0"/>
              <w:spacing w:before="0" w:after="283"/>
              <w:jc w:val="right"/>
              <w:rPr/>
            </w:pPr>
            <w:r>
              <w:rPr/>
              <w:t>7.55%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422" w:type="dxa"/>
            <w:tcBorders/>
            <w:shd w:fill="CCEEFF" w:val="clear"/>
            <w:tcMar>
              <w:bottom w:w="0" w:type="dxa"/>
            </w:tcMar>
            <w:vAlign w:val="center"/>
          </w:tcPr>
          <w:p>
            <w:pPr>
              <w:pStyle w:val="TableContents"/>
              <w:bidi w:val="0"/>
              <w:spacing w:before="0" w:after="0"/>
              <w:jc w:val="left"/>
              <w:rPr>
                <w:spacing w:val="4"/>
              </w:rPr>
            </w:pPr>
            <w:r>
              <w:rPr>
                <w:spacing w:val="4"/>
              </w:rPr>
              <w:t xml:space="preserve">PIPE Investor 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59" w:type="dxa"/>
            <w:tcBorders/>
            <w:shd w:fill="CCEEFF" w:val="clear"/>
            <w:tcMar>
              <w:bottom w:w="0" w:type="dxa"/>
            </w:tcMar>
            <w:vAlign w:val="center"/>
          </w:tcPr>
          <w:p>
            <w:pPr>
              <w:pStyle w:val="TableContents"/>
              <w:bidi w:val="0"/>
              <w:spacing w:before="0" w:after="283"/>
              <w:jc w:val="right"/>
              <w:rPr/>
            </w:pPr>
            <w:r>
              <w:rPr/>
              <w:t>7.79%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422" w:type="dxa"/>
            <w:tcBorders/>
            <w:tcMar>
              <w:bottom w:w="0" w:type="dxa"/>
            </w:tcMar>
            <w:vAlign w:val="center"/>
          </w:tcPr>
          <w:p>
            <w:pPr>
              <w:pStyle w:val="TableContents"/>
              <w:bidi w:val="0"/>
              <w:spacing w:before="0" w:after="0"/>
              <w:jc w:val="left"/>
              <w:rPr>
                <w:spacing w:val="4"/>
              </w:rPr>
            </w:pPr>
            <w:r>
              <w:rPr>
                <w:spacing w:val="4"/>
              </w:rPr>
              <w:t xml:space="preserve">Eagle Energy, earn-out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59" w:type="dxa"/>
            <w:tcBorders/>
            <w:tcMar>
              <w:bottom w:w="0" w:type="dxa"/>
            </w:tcMar>
            <w:vAlign w:val="center"/>
          </w:tcPr>
          <w:p>
            <w:pPr>
              <w:pStyle w:val="TableContents"/>
              <w:bidi w:val="0"/>
              <w:spacing w:before="0" w:after="283"/>
              <w:jc w:val="right"/>
              <w:rPr/>
            </w:pPr>
            <w:r>
              <w:rPr/>
              <w:t>4.68%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5.   Oregon Energy Statement of Operations Reconciliation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preparing Oregon Energy, presented in the pro forma condensed combined statement of operations for the twelve-months ended December 31, 2025, the historical audited statement of operations for the year ended June 30, 2025 of Oregon Energy was adjusted by deducting Oregon Energy’s unaudited statement of operations for the six months ended December 31, 2024, and adding the unaudited results of Oregon Energy for the six months ended December 31, 2025.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alignment of the financial statement presentation with that of Eagle, the financial statement line item “General and administration costs” in the historical statements of operations are re-labelled as “office and administrative” in the pro forma condensed combined statement of operations.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presents a reconciliation of Oregon Energy’s statement of operations for the twelve months ended December 31, 2025, and the three months ended December 31, 2025: </w:t>
      </w:r>
    </w:p>
    <w:tbl>
      <w:tblPr>
        <w:tblW w:w="8812" w:type="dxa"/>
        <w:jc w:val="left"/>
        <w:tblInd w:w="1393" w:type="dxa"/>
        <w:tblLayout w:type="fixed"/>
        <w:tblCellMar>
          <w:top w:w="0" w:type="dxa"/>
          <w:left w:w="0" w:type="dxa"/>
          <w:bottom w:w="28" w:type="dxa"/>
          <w:right w:w="0" w:type="dxa"/>
        </w:tblCellMar>
      </w:tblPr>
      <w:tblGrid>
        <w:gridCol w:w="1973"/>
        <w:gridCol w:w="109"/>
        <w:gridCol w:w="109"/>
        <w:gridCol w:w="114"/>
        <w:gridCol w:w="114"/>
        <w:gridCol w:w="1018"/>
        <w:gridCol w:w="114"/>
        <w:gridCol w:w="109"/>
        <w:gridCol w:w="109"/>
        <w:gridCol w:w="138"/>
        <w:gridCol w:w="138"/>
        <w:gridCol w:w="1068"/>
        <w:gridCol w:w="139"/>
        <w:gridCol w:w="109"/>
        <w:gridCol w:w="109"/>
        <w:gridCol w:w="132"/>
        <w:gridCol w:w="132"/>
        <w:gridCol w:w="1084"/>
        <w:gridCol w:w="134"/>
        <w:gridCol w:w="109"/>
        <w:gridCol w:w="109"/>
        <w:gridCol w:w="132"/>
        <w:gridCol w:w="132"/>
        <w:gridCol w:w="1084"/>
        <w:gridCol w:w="134"/>
        <w:gridCol w:w="160"/>
      </w:tblGrid>
      <w:tr>
        <w:trPr/>
        <w:tc>
          <w:tcPr>
            <w:tcW w:w="19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Y/E June 30,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6-months</w:t>
            </w:r>
            <w:r>
              <w:rPr/>
              <w:t xml:space="preserve"> </w:t>
              <w:br/>
            </w:r>
            <w:r>
              <w:rPr>
                <w:spacing w:val="-3"/>
              </w:rPr>
              <w:t xml:space="preserve">December 31, 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6-months</w:t>
            </w:r>
            <w:r>
              <w:rPr/>
              <w:t xml:space="preserve"> </w:t>
              <w:br/>
            </w:r>
            <w:r>
              <w:rPr>
                <w:spacing w:val="-3"/>
              </w:rPr>
              <w:t xml:space="preserve">December 31,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12-months</w:t>
            </w:r>
            <w:r>
              <w:rPr/>
              <w:t xml:space="preserve"> </w:t>
              <w:br/>
            </w:r>
            <w:r>
              <w:rPr>
                <w:spacing w:val="-3"/>
              </w:rPr>
              <w:t xml:space="preserve">December 31, 2025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973"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Presented in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USD</w:t>
            </w:r>
            <w:r>
              <w:rPr/>
              <w:t xml:space="preserve"> </w:t>
              <w:br/>
            </w:r>
            <w:r>
              <w:rPr>
                <w:spacing w:val="-3"/>
              </w:rPr>
              <w:t xml:space="preserve">(A)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USD</w:t>
            </w:r>
            <w:r>
              <w:rPr/>
              <w:t xml:space="preserve"> </w:t>
              <w:br/>
            </w:r>
            <w:r>
              <w:rPr>
                <w:spacing w:val="-3"/>
              </w:rPr>
              <w:t xml:space="preserve">(B)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USD</w:t>
            </w:r>
            <w:r>
              <w:rPr/>
              <w:t xml:space="preserve"> </w:t>
              <w:br/>
            </w:r>
            <w:r>
              <w:rPr>
                <w:spacing w:val="-3"/>
              </w:rPr>
              <w:t xml:space="preserve">(C)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USD</w:t>
            </w:r>
            <w:r>
              <w:rPr/>
              <w:t xml:space="preserve"> </w:t>
              <w:br/>
            </w:r>
            <w:r>
              <w:rPr>
                <w:spacing w:val="-3"/>
              </w:rPr>
              <w:t xml:space="preserve">(A – B + C)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973" w:type="dxa"/>
            <w:tcBorders/>
            <w:shd w:fill="CCEEFF" w:val="clear"/>
            <w:tcMar>
              <w:bottom w:w="0" w:type="dxa"/>
            </w:tcMar>
            <w:vAlign w:val="center"/>
          </w:tcPr>
          <w:p>
            <w:pPr>
              <w:pStyle w:val="TableContents"/>
              <w:bidi w:val="0"/>
              <w:spacing w:before="0" w:after="0"/>
              <w:ind w:left="200" w:right="0" w:hanging="200"/>
              <w:jc w:val="left"/>
              <w:rPr/>
            </w:pPr>
            <w:r>
              <w:rPr>
                <w:spacing w:val="4"/>
              </w:rPr>
              <w:t>Reconciliation of 12-months ended December 31,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068"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084"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084"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73" w:type="dxa"/>
            <w:tcBorders/>
            <w:tcMar>
              <w:bottom w:w="0" w:type="dxa"/>
            </w:tcMar>
            <w:vAlign w:val="center"/>
          </w:tcPr>
          <w:p>
            <w:pPr>
              <w:pStyle w:val="TableContents"/>
              <w:bidi w:val="0"/>
              <w:spacing w:before="0" w:after="0"/>
              <w:jc w:val="left"/>
              <w:rPr>
                <w:spacing w:val="4"/>
              </w:rPr>
            </w:pPr>
            <w:r>
              <w:rPr>
                <w:spacing w:val="4"/>
              </w:rPr>
              <w:t xml:space="preserve">General and administration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35,408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068" w:type="dxa"/>
            <w:tcBorders/>
            <w:tcMar>
              <w:bottom w:w="0" w:type="dxa"/>
            </w:tcMar>
            <w:vAlign w:val="center"/>
          </w:tcPr>
          <w:p>
            <w:pPr>
              <w:pStyle w:val="TableContents"/>
              <w:bidi w:val="0"/>
              <w:spacing w:before="0" w:after="283"/>
              <w:jc w:val="right"/>
              <w:rPr/>
            </w:pPr>
            <w:r>
              <w:rPr/>
              <w:t>17,640</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084" w:type="dxa"/>
            <w:tcBorders/>
            <w:tcMar>
              <w:bottom w:w="0" w:type="dxa"/>
            </w:tcMar>
            <w:vAlign w:val="center"/>
          </w:tcPr>
          <w:p>
            <w:pPr>
              <w:pStyle w:val="TableContents"/>
              <w:bidi w:val="0"/>
              <w:spacing w:before="0" w:after="283"/>
              <w:jc w:val="right"/>
              <w:rPr/>
            </w:pPr>
            <w:r>
              <w:rPr/>
              <w:t>16,348</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084" w:type="dxa"/>
            <w:tcBorders/>
            <w:tcMar>
              <w:bottom w:w="0" w:type="dxa"/>
            </w:tcMar>
            <w:vAlign w:val="center"/>
          </w:tcPr>
          <w:p>
            <w:pPr>
              <w:pStyle w:val="TableContents"/>
              <w:bidi w:val="0"/>
              <w:spacing w:before="0" w:after="283"/>
              <w:jc w:val="right"/>
              <w:rPr/>
            </w:pPr>
            <w:r>
              <w:rPr/>
              <w:t>34,116</w:t>
            </w:r>
          </w:p>
        </w:tc>
        <w:tc>
          <w:tcPr>
            <w:tcW w:w="13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7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Exploration and evaluation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8" w:type="dxa"/>
            <w:tcBorders>
              <w:bottom w:val="single" w:sz="2" w:space="0" w:color="000000"/>
            </w:tcBorders>
            <w:shd w:fill="CCEEFF" w:val="clear"/>
            <w:tcMar>
              <w:bottom w:w="50" w:type="dxa"/>
            </w:tcMar>
            <w:vAlign w:val="center"/>
          </w:tcPr>
          <w:p>
            <w:pPr>
              <w:pStyle w:val="TableContents"/>
              <w:bidi w:val="0"/>
              <w:spacing w:before="0" w:after="283"/>
              <w:jc w:val="right"/>
              <w:rPr/>
            </w:pPr>
            <w:r>
              <w:rPr/>
              <w:t>201,932</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3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8" w:type="dxa"/>
            <w:tcBorders>
              <w:bottom w:val="single" w:sz="2" w:space="0" w:color="000000"/>
            </w:tcBorders>
            <w:shd w:fill="CCEEFF" w:val="clear"/>
            <w:tcMar>
              <w:bottom w:w="50" w:type="dxa"/>
            </w:tcMar>
            <w:vAlign w:val="center"/>
          </w:tcPr>
          <w:p>
            <w:pPr>
              <w:pStyle w:val="TableContents"/>
              <w:bidi w:val="0"/>
              <w:spacing w:before="0" w:after="283"/>
              <w:jc w:val="right"/>
              <w:rPr/>
            </w:pPr>
            <w:r>
              <w:rPr/>
              <w:t>48,365</w:t>
            </w:r>
          </w:p>
        </w:tc>
        <w:tc>
          <w:tcPr>
            <w:tcW w:w="13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3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84" w:type="dxa"/>
            <w:tcBorders>
              <w:bottom w:val="single" w:sz="2" w:space="0" w:color="000000"/>
            </w:tcBorders>
            <w:shd w:fill="CCEEFF" w:val="clear"/>
            <w:tcMar>
              <w:bottom w:w="50" w:type="dxa"/>
            </w:tcMar>
            <w:vAlign w:val="center"/>
          </w:tcPr>
          <w:p>
            <w:pPr>
              <w:pStyle w:val="TableContents"/>
              <w:bidi w:val="0"/>
              <w:spacing w:before="0" w:after="283"/>
              <w:jc w:val="right"/>
              <w:rPr/>
            </w:pPr>
            <w:r>
              <w:rPr/>
              <w:t>86,575</w:t>
            </w:r>
          </w:p>
        </w:tc>
        <w:tc>
          <w:tcPr>
            <w:tcW w:w="13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3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84" w:type="dxa"/>
            <w:tcBorders>
              <w:bottom w:val="single" w:sz="2" w:space="0" w:color="000000"/>
            </w:tcBorders>
            <w:shd w:fill="CCEEFF" w:val="clear"/>
            <w:tcMar>
              <w:bottom w:w="50" w:type="dxa"/>
            </w:tcMar>
            <w:vAlign w:val="center"/>
          </w:tcPr>
          <w:p>
            <w:pPr>
              <w:pStyle w:val="TableContents"/>
              <w:bidi w:val="0"/>
              <w:spacing w:before="0" w:after="283"/>
              <w:jc w:val="right"/>
              <w:rPr/>
            </w:pPr>
            <w:r>
              <w:rPr/>
              <w:t>240,142</w:t>
            </w:r>
          </w:p>
        </w:tc>
        <w:tc>
          <w:tcPr>
            <w:tcW w:w="134"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73" w:type="dxa"/>
            <w:tcBorders/>
            <w:tcMar>
              <w:bottom w:w="0" w:type="dxa"/>
            </w:tcMar>
            <w:vAlign w:val="center"/>
          </w:tcPr>
          <w:p>
            <w:pPr>
              <w:pStyle w:val="TableContents"/>
              <w:bidi w:val="0"/>
              <w:spacing w:before="0" w:after="0"/>
              <w:jc w:val="left"/>
              <w:rPr>
                <w:spacing w:val="4"/>
              </w:rPr>
            </w:pPr>
            <w:r>
              <w:rPr>
                <w:spacing w:val="4"/>
              </w:rPr>
              <w:t xml:space="preserve">Total 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237,340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068" w:type="dxa"/>
            <w:tcBorders/>
            <w:tcMar>
              <w:bottom w:w="0" w:type="dxa"/>
            </w:tcMar>
            <w:vAlign w:val="center"/>
          </w:tcPr>
          <w:p>
            <w:pPr>
              <w:pStyle w:val="TableContents"/>
              <w:bidi w:val="0"/>
              <w:spacing w:before="0" w:after="283"/>
              <w:jc w:val="right"/>
              <w:rPr/>
            </w:pPr>
            <w:r>
              <w:rPr/>
              <w:t>66,005</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084" w:type="dxa"/>
            <w:tcBorders/>
            <w:tcMar>
              <w:bottom w:w="0" w:type="dxa"/>
            </w:tcMar>
            <w:vAlign w:val="center"/>
          </w:tcPr>
          <w:p>
            <w:pPr>
              <w:pStyle w:val="TableContents"/>
              <w:bidi w:val="0"/>
              <w:spacing w:before="0" w:after="283"/>
              <w:jc w:val="right"/>
              <w:rPr/>
            </w:pPr>
            <w:r>
              <w:rPr/>
              <w:t>102,923</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084" w:type="dxa"/>
            <w:tcBorders/>
            <w:tcMar>
              <w:bottom w:w="0" w:type="dxa"/>
            </w:tcMar>
            <w:vAlign w:val="center"/>
          </w:tcPr>
          <w:p>
            <w:pPr>
              <w:pStyle w:val="TableContents"/>
              <w:bidi w:val="0"/>
              <w:spacing w:before="0" w:after="283"/>
              <w:jc w:val="right"/>
              <w:rPr/>
            </w:pPr>
            <w:r>
              <w:rPr/>
              <w:t>274,258</w:t>
            </w:r>
          </w:p>
        </w:tc>
        <w:tc>
          <w:tcPr>
            <w:tcW w:w="13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7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income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8" w:type="dxa"/>
            <w:tcBorders>
              <w:bottom w:val="single" w:sz="2" w:space="0" w:color="000000"/>
            </w:tcBorders>
            <w:shd w:fill="CCEEFF" w:val="clear"/>
            <w:tcMar>
              <w:bottom w:w="50" w:type="dxa"/>
            </w:tcMar>
            <w:vAlign w:val="center"/>
          </w:tcPr>
          <w:p>
            <w:pPr>
              <w:pStyle w:val="TableContents"/>
              <w:bidi w:val="0"/>
              <w:spacing w:before="0" w:after="283"/>
              <w:jc w:val="right"/>
              <w:rPr/>
            </w:pPr>
            <w:r>
              <w:rPr/>
              <w:t>83,557</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3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3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84" w:type="dxa"/>
            <w:tcBorders>
              <w:bottom w:val="single" w:sz="2" w:space="0" w:color="000000"/>
            </w:tcBorders>
            <w:shd w:fill="CCEEFF" w:val="clear"/>
            <w:tcMar>
              <w:bottom w:w="50" w:type="dxa"/>
            </w:tcMar>
            <w:vAlign w:val="center"/>
          </w:tcPr>
          <w:p>
            <w:pPr>
              <w:pStyle w:val="TableContents"/>
              <w:bidi w:val="0"/>
              <w:spacing w:before="0" w:after="283"/>
              <w:jc w:val="right"/>
              <w:rPr/>
            </w:pPr>
            <w:r>
              <w:rPr/>
              <w:t>117,869</w:t>
            </w:r>
          </w:p>
        </w:tc>
        <w:tc>
          <w:tcPr>
            <w:tcW w:w="13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3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84" w:type="dxa"/>
            <w:tcBorders>
              <w:bottom w:val="single" w:sz="2" w:space="0" w:color="000000"/>
            </w:tcBorders>
            <w:shd w:fill="CCEEFF" w:val="clear"/>
            <w:tcMar>
              <w:bottom w:w="50" w:type="dxa"/>
            </w:tcMar>
            <w:vAlign w:val="center"/>
          </w:tcPr>
          <w:p>
            <w:pPr>
              <w:pStyle w:val="TableContents"/>
              <w:bidi w:val="0"/>
              <w:spacing w:before="0" w:after="283"/>
              <w:jc w:val="right"/>
              <w:rPr/>
            </w:pPr>
            <w:r>
              <w:rPr/>
              <w:t>201,426</w:t>
            </w:r>
          </w:p>
        </w:tc>
        <w:tc>
          <w:tcPr>
            <w:tcW w:w="134"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73" w:type="dxa"/>
            <w:tcBorders/>
            <w:tcMar>
              <w:bottom w:w="0" w:type="dxa"/>
            </w:tcMar>
            <w:vAlign w:val="center"/>
          </w:tcPr>
          <w:p>
            <w:pPr>
              <w:pStyle w:val="TableContents"/>
              <w:bidi w:val="0"/>
              <w:spacing w:before="0" w:after="0"/>
              <w:jc w:val="left"/>
              <w:rPr>
                <w:spacing w:val="4"/>
              </w:rPr>
            </w:pPr>
            <w:r>
              <w:rPr>
                <w:spacing w:val="4"/>
              </w:rPr>
              <w:t xml:space="preserve">Net income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(153,783)</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068" w:type="dxa"/>
            <w:tcBorders/>
            <w:tcMar>
              <w:bottom w:w="0" w:type="dxa"/>
            </w:tcMar>
            <w:vAlign w:val="center"/>
          </w:tcPr>
          <w:p>
            <w:pPr>
              <w:pStyle w:val="TableContents"/>
              <w:bidi w:val="0"/>
              <w:spacing w:before="0" w:after="283"/>
              <w:jc w:val="right"/>
              <w:rPr/>
            </w:pPr>
            <w:r>
              <w:rPr/>
              <w:t>(66,005)</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084" w:type="dxa"/>
            <w:tcBorders/>
            <w:tcMar>
              <w:bottom w:w="0" w:type="dxa"/>
            </w:tcMar>
            <w:vAlign w:val="center"/>
          </w:tcPr>
          <w:p>
            <w:pPr>
              <w:pStyle w:val="TableContents"/>
              <w:bidi w:val="0"/>
              <w:spacing w:before="0" w:after="283"/>
              <w:jc w:val="right"/>
              <w:rPr/>
            </w:pPr>
            <w:r>
              <w:rPr/>
              <w:t>14,946</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084" w:type="dxa"/>
            <w:tcBorders/>
            <w:tcMar>
              <w:bottom w:w="0" w:type="dxa"/>
            </w:tcMar>
            <w:vAlign w:val="center"/>
          </w:tcPr>
          <w:p>
            <w:pPr>
              <w:pStyle w:val="TableContents"/>
              <w:bidi w:val="0"/>
              <w:spacing w:before="0" w:after="283"/>
              <w:jc w:val="right"/>
              <w:rPr/>
            </w:pPr>
            <w:r>
              <w:rPr/>
              <w:t>(72,832)</w:t>
            </w:r>
          </w:p>
        </w:tc>
        <w:tc>
          <w:tcPr>
            <w:tcW w:w="13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MIFC"/>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 FOR CLASS A ORDINARY SHARES AND 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and our Public Warrants are listed on the Nasdaq Capital Market under the symbols “NUCL” and “NUCLW,” respectively. As of April 22, 2026, there were 318 holders of record of our Common Stock and 1 holder of record of our Public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paid any cash dividends on our Common Stock to date. The payment of cash dividends by us in the future will be dependent upon our revenues and earnings, if any, capital requirements and general financial condition. The payment of any dividends will be within the discretion of our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MDA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DISCUSSION AND ANALYSIS OF FINANCIAL CONDITION AND RESULTS OF OPERATIONS OF NEW EAGLE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discussion and analysis provides information that management believes is relevant to an assessment and understanding of Eagle Nuclear Energy Corp.’s (the “Company” or “New Eagle”) consolidated results of operations and financial condition. The discussion should be read together with New Eagle’s unaudited financial statements for the three months ended February 28, 2026 and 2025, and the related notes. This discussion may contain forward-looking statements based upon current expectations that involve risks and uncertainties. New Eagle’s actual results may differ materially from those anticipated in these forward-looking statements.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Unless the context otherwise requires, references in this “Management’s Discussion and Analysis of Financial Condition and Results of Operations of New Eagle” to “we,” “our,” “New Eagle”, or “the Company” refer to the business and operations of Eagle Energy prior to the Business Combination and to Eagle Nuclear Energy Corp. following the consummation of the Business Combination on February 24, 2026. References to “Eagle Energy”, refer to Eagle Energy Metals Corp. before the Business Combination. All figures are in US dollars unless otherwise noted. Unless the context otherwise requires.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Eagle Nuclear Energy Corp. was incorporated on December 19, 2025, under the laws of the state of Nevada. The Company is a next-generation nuclear energy company that seeks to combine domestic uranium exploration and development with proprietary small modular reactor (“SMR”) technology, with the intent of establishing a vertically integrated business model, combining uranium exploration, extraction, and production with the design and development of modular nuclear reactors intended to supply reliable power for industrial use and electricity grids. Through this approach, the Company aims to support energy security and meet growing demand for clean and scalable nuclear power solutions.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corporate office and mailing address are located at 5470 Kietzke Lane, Suite 300, Reno, NV 89511 and the Company’s phone number is 775-335-2029. The Company’s website address is https://eaglenuclear.com. Information contained on our website or connected thereto does not constitute part of, and is not incorporated by reference into, this Quarterly Report.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not yet commenced its principal operations as of February 28,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acquisition of Oregon Energy LLC (“Oregon Energy”) on February 24, 2026, the Company currently owns mining claims to explore and extract uranium (Aurora Uranium Project (“AUP”)) located in Malheur County, Oregon, approximately 16 kilometers northwest of McDermitt, Nevada. As of February 28, 2026, the Company holds 263 unpatented lode mining claims and 71 unpatented placer mining claims in the AUP, along with 27 unpatented placer mining claims in Humboldt County, Nevada. These claims collectively cover an area of approximately 43 square kilometers.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Formation and Reverse Recapitalization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was incorporated as a subsidiary of Spring Valley Acquisition Corp. II (“SVII”), a special purpose acquisition corporation incorporated in the Cayman Islands, for the purpose of completing a reverse acquisition between Eagle Energy Metals Corp. (“Eagle Energy”) and SVII, pursuant to an agreement and plan of merger (“BCA”) entered into on July 30, 2025 and as amended on September 29, 2025. On February 24, 2026, the Company, Eagle Energy, and SVII completed the reverse acquisition transaction. The transaction is also referred to as the “de-SPAC” transaction. Each of Eagle Energy and SVII became a subsidiary of the Company as part of the de-SPAC transaction. Eagle Energy is deemed as the acquirer for accounting purposes, and therefore its assets, liabilities and operations are included in the unaudited condensed consolidated interim financial statements at their historical carrying values. The Company’s operations are considered to be a continuance of the business and operations of Eagle Energy, with the Company’s operations being included beginning on February 24, 2026, the closing date of the de-SPAC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BCA, former shareholders of nonredeemable common stock of Eagle Energy received 18,888,289 shares of common stock in the Company, representing a consolidation on a 5.8349:1 basis. The former shareholder of redeemable common stock of Eagle Energy received 2,750,000 shares of common stock in the Company, representing a consolidation on a 5.8:1 basis. Former shareholders of SVII received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3,630,051 shares of common stock in the Company, representing a one-for-one exchange of shares of Class A and Class B common stock of SVII. The Company also issued 2,299,982 shares of common stock to holders of 23,000,000 rights of SVII, which were converted into shares of SVII on a 10:1 basis upon the consummation of a business combination by SVII. A total of 5,930,033 shares of common stock are retained by former shareholders of SVII. A further 300,000 shares of common stock was issued to a service provider in consideration for transaction costs associated with the de-SPAC transaction. The common stock and public warrants of the Company began trading on Nasdaq under the ticker symbols of “NUCL” and “NUCLW,” respectively, on February 25,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Recent Developments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PIPE Financing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completion of the de-SPAC transaction, the Company also completed a PIPE Financing and raised $29,700,000, in exchange for the issuance of 29,700 shares of Series A Cumulative Convertible Preferred Stock, which are initially convertible into common stock on a 1-to-84.18 basis, and 2,500,000 PIPE warrants. The Series A Cumulative Convertible Preferred Stock have an initial stated value of $1,000 per share, are redeemable at the option of the holder beginning February 24, 2031, and accrues dividends at 12% annually (if paid in kind), or 10% annually (if paid in cash).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Acquisition of Oregon Energy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Eagle Energy, a subsidiary of the Company, previously entered into a property option agreement with Aurora Energy Metals Ltd. (“Aurora”) (the “Aurora Option Agreement”) on November 18, 2024 for a property option agreement over Oregon Energy, and paid an aggregate of $1,000,000 in option and extension payments (for extension options triggered on May 18, 2025 and November 18, 2025), as well as $219,545 in reimbursements of mining expenditures of Oregon Energy, pursuant to the terms of the Aurora Option Agreement, which Eagle Energy was committed to reimburse up to $500,000 of exploration expenditures of Oregon Energy due to the triggering of the extension options.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26, 2025, Eagle Energy, Aurora Energy, and Oregon Energy executed a First Amendment to the Property Option Agreement. The amendment (i) revised the second extension to complete a Listing Event from a six month period (deadline of May 18, 2026) to a 225 day period (deadline of July 2, 2026), and (ii) provides that the Resource Payment provisions under which Aurora Energy may be entitled to additional payment shares as mentioned hereinafter are amended such that the determination is made following the next newly prepared SK1300 mineral resource update published by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immediately before the completion of the de-SPAC transaction, Eagle Energy, Aurora Energy, and Oregon Energy executed a Second Amendment to the Property Option Agreement. The amendment (i) confirmed the number of Aurora Option Payment Shares to be issued, (ii) set the deadline for grant of NSR to Aurora Energy to be on or before 10 business days after the closing date, and (iii) clarified certain terms and conditions of the Aurora Option Agreement, including terms related to the Resource Payment and the Pre-Feasibility Bonus (as hereinafter defined) are intended to survive closing until those covenants have been fully performed.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the Company issued 1,710,991 shares of common stock to Aurora Energy for the acquisition of 100% interest in Oregon Energy, upon the completion of the de-SPAC transaction. The number of shares issued was calculated based on a “listing payment” of $16,000,000, upward adjusted for 50% of the increase in uranium spot price between November 18, 2024 and February 24, 2026, to $17,109,910. The number of shares issued, being 1,710,991 shares, was based on the deemed transaction price of $10 per share in the BCA, as the Company’s listing event that triggered the exercise of the option to acquire Oregon Energy was a reverse acquisition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Aurora Energy may be entitled to additional payment shares (the “Resource Payment”). If the Company identifies a measured and/or indicated mineral resource, in its next newly prepared SK1300 mineral resources update, of at least 40 million pounds of U3O8, Aurora Energy will be entitled to receive $4,000,000 in Resource Payment. Each additional 1,000,000 pounds of U3O8 above 40 million pounds will further increase the total value of the Resource Payment by $200,000, up to a maximum of $1,000,000, resulting in an overall maximum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$5,000,000 of Resource Payment. The number of shares issuable for a Resource Payment is calculated based on the 30-day volume-weighted average trading price (“VWAP”) of the Company’s shares for the 30 trading days prior to the date of the announcement of the SK1300 mineral resource update.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upon completion of a positive pre-feasibility study on the project following the listing of the Company on Nasdaq, the Company will issue to Aurora Energy additional payment shares (the “Pre-Feasibility Bonus”) with a value of $5,000,000, determined by the 30-day VWAP of the Company’s shares during the 30 days prior to the announcement of the pre-feasibility study.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Aurora Option Agreement, Aurora Energy retained a 1.0% net smelter return (“NSR”) royalty on the mineral rights, which constitutes a perpetual interest in the underlying assets. Certain contingent and deferred consideration obligations (including resource-based and pre-feasibility milestone payments) remain outstanding and will be recognized when probable. The Company has a right to repurchase one-half of the NSR for $1,000,000; or the entire NSR for $2,000,000; and has a right of first refusal of any proposed sale by Aurora Energy of all or part of the NSR.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2025, Eagle Energy, a subsidiary of the Company, engaged BBA USA Inc, to complete a S-K 1300 Technical Report Summary on the AUP (the “S-K 1300 AUP TRS”). BBA USA Inc completed the S-K 1300 AUP TRS which is entitled S-K 1300 Technical Report Summary Mineral Resources Estimate for the Aurora Uranium Project; Report Date: August 8, 2025. The report was filed with the Securities and Exchange Commission on September 30, 2025, as an exhibit to a Form S-4 of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Results of Operations — For the Three Months Ended February 28, 2026 and 2025 (unaudited):</w:t>
      </w:r>
      <w:r>
        <w:rPr>
          <w:rFonts w:ascii="Times New Roman;Times;serif" w:hAnsi="Times New Roman;Times;serif"/>
          <w:b/>
          <w:i/>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646"/>
        <w:gridCol w:w="109"/>
        <w:gridCol w:w="109"/>
        <w:gridCol w:w="109"/>
        <w:gridCol w:w="109"/>
        <w:gridCol w:w="1168"/>
        <w:gridCol w:w="109"/>
        <w:gridCol w:w="109"/>
        <w:gridCol w:w="109"/>
        <w:gridCol w:w="111"/>
        <w:gridCol w:w="111"/>
        <w:gridCol w:w="1020"/>
        <w:gridCol w:w="111"/>
        <w:gridCol w:w="109"/>
        <w:gridCol w:w="109"/>
        <w:gridCol w:w="109"/>
        <w:gridCol w:w="109"/>
        <w:gridCol w:w="988"/>
        <w:gridCol w:w="109"/>
        <w:gridCol w:w="109"/>
        <w:gridCol w:w="109"/>
        <w:gridCol w:w="109"/>
        <w:gridCol w:w="109"/>
        <w:gridCol w:w="646"/>
        <w:gridCol w:w="109"/>
        <w:gridCol w:w="158"/>
      </w:tblGrid>
      <w:tr>
        <w:trPr/>
        <w:tc>
          <w:tcPr>
            <w:tcW w:w="26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three</w:t>
            </w:r>
            <w:r>
              <w:rPr/>
              <w:t xml:space="preserve"> </w:t>
              <w:br/>
            </w:r>
            <w:r>
              <w:rPr>
                <w:spacing w:val="-3"/>
              </w:rPr>
              <w:t>months ended</w:t>
            </w:r>
            <w:r>
              <w:rPr/>
              <w:t xml:space="preserve"> </w:t>
              <w:br/>
            </w:r>
            <w:r>
              <w:rPr>
                <w:spacing w:val="-3"/>
              </w:rPr>
              <w:t>February 28,</w:t>
            </w:r>
            <w:r>
              <w:rPr/>
              <w:t xml:space="preserve"> </w:t>
              <w:br/>
            </w:r>
            <w:r>
              <w:rPr>
                <w:spacing w:val="-3"/>
              </w:rPr>
              <w:t>2026</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three</w:t>
            </w:r>
            <w:r>
              <w:rPr/>
              <w:t xml:space="preserve"> </w:t>
              <w:br/>
            </w:r>
            <w:r>
              <w:rPr>
                <w:spacing w:val="-3"/>
              </w:rPr>
              <w:t>months ended</w:t>
            </w:r>
            <w:r>
              <w:rPr/>
              <w:t xml:space="preserve"> </w:t>
              <w:br/>
            </w:r>
            <w:r>
              <w:rPr>
                <w:spacing w:val="-3"/>
              </w:rPr>
              <w:t>February 28,</w:t>
            </w:r>
            <w:r>
              <w:rPr/>
              <w:t xml:space="preserve"> </w:t>
              <w:br/>
            </w:r>
            <w:r>
              <w:rPr>
                <w:spacing w:val="-3"/>
              </w:rPr>
              <w:t>2025</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Change</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Change</w:t>
            </w:r>
            <w:r>
              <w:rPr/>
              <w:t xml:space="preserve"> </w:t>
              <w:br/>
            </w:r>
            <w:r>
              <w:rPr>
                <w:spacing w:val="-3"/>
              </w:rPr>
              <w:t xml:space="preserv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646" w:type="dxa"/>
            <w:tcBorders/>
            <w:shd w:fill="CCEEFF" w:val="clear"/>
            <w:tcMar>
              <w:bottom w:w="0" w:type="dxa"/>
            </w:tcMar>
            <w:vAlign w:val="center"/>
          </w:tcPr>
          <w:p>
            <w:pPr>
              <w:pStyle w:val="TableContents"/>
              <w:bidi w:val="0"/>
              <w:spacing w:before="0" w:after="283"/>
              <w:jc w:val="left"/>
              <w:rPr/>
            </w:pPr>
            <w:r>
              <w:rPr>
                <w:spacing w:val="-4"/>
              </w:rPr>
              <w:t>Operating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646" w:type="dxa"/>
            <w:tcBorders/>
            <w:tcMar>
              <w:bottom w:w="0" w:type="dxa"/>
            </w:tcMar>
            <w:vAlign w:val="center"/>
          </w:tcPr>
          <w:p>
            <w:pPr>
              <w:pStyle w:val="TableContents"/>
              <w:bidi w:val="0"/>
              <w:spacing w:before="0" w:after="0"/>
              <w:ind w:left="200" w:right="0" w:hanging="0"/>
              <w:jc w:val="left"/>
              <w:rPr>
                <w:spacing w:val="4"/>
              </w:rPr>
            </w:pPr>
            <w:r>
              <w:rPr>
                <w:spacing w:val="4"/>
              </w:rPr>
              <w:t xml:space="preserve">Bank charges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68" w:type="dxa"/>
            <w:tcBorders/>
            <w:tcMar>
              <w:bottom w:w="0" w:type="dxa"/>
            </w:tcMar>
            <w:vAlign w:val="center"/>
          </w:tcPr>
          <w:p>
            <w:pPr>
              <w:pStyle w:val="TableContents"/>
              <w:bidi w:val="0"/>
              <w:spacing w:before="0" w:after="283"/>
              <w:jc w:val="right"/>
              <w:rPr/>
            </w:pPr>
            <w:r>
              <w:rPr/>
              <w:t>2,520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20" w:type="dxa"/>
            <w:tcBorders/>
            <w:tcMar>
              <w:bottom w:w="0" w:type="dxa"/>
            </w:tcMar>
            <w:vAlign w:val="center"/>
          </w:tcPr>
          <w:p>
            <w:pPr>
              <w:pStyle w:val="TableContents"/>
              <w:bidi w:val="0"/>
              <w:spacing w:before="0" w:after="283"/>
              <w:jc w:val="right"/>
              <w:rPr/>
            </w:pPr>
            <w:r>
              <w:rPr/>
              <w:t>311</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2,209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710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64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Business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68" w:type="dxa"/>
            <w:tcBorders/>
            <w:shd w:fill="CCEEFF" w:val="clear"/>
            <w:tcMar>
              <w:bottom w:w="0" w:type="dxa"/>
            </w:tcMar>
            <w:vAlign w:val="center"/>
          </w:tcPr>
          <w:p>
            <w:pPr>
              <w:pStyle w:val="TableContents"/>
              <w:bidi w:val="0"/>
              <w:spacing w:before="0" w:after="283"/>
              <w:jc w:val="right"/>
              <w:rPr/>
            </w:pPr>
            <w:r>
              <w:rPr/>
              <w:t>80,450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80,450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646" w:type="dxa"/>
            <w:tcBorders/>
            <w:tcMar>
              <w:bottom w:w="0" w:type="dxa"/>
            </w:tcMar>
            <w:vAlign w:val="center"/>
          </w:tcPr>
          <w:p>
            <w:pPr>
              <w:pStyle w:val="TableContents"/>
              <w:bidi w:val="0"/>
              <w:spacing w:before="0" w:after="0"/>
              <w:ind w:left="200" w:right="0" w:hanging="0"/>
              <w:jc w:val="left"/>
              <w:rPr>
                <w:spacing w:val="4"/>
              </w:rPr>
            </w:pPr>
            <w:r>
              <w:rPr>
                <w:spacing w:val="4"/>
              </w:rPr>
              <w:t xml:space="preserve">Amortization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68" w:type="dxa"/>
            <w:tcBorders/>
            <w:tcMar>
              <w:bottom w:w="0" w:type="dxa"/>
            </w:tcMar>
            <w:vAlign w:val="center"/>
          </w:tcPr>
          <w:p>
            <w:pPr>
              <w:pStyle w:val="TableContents"/>
              <w:bidi w:val="0"/>
              <w:spacing w:before="0" w:after="283"/>
              <w:jc w:val="right"/>
              <w:rPr/>
            </w:pPr>
            <w:r>
              <w:rPr/>
              <w:t>941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20"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941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64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Depreciation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68" w:type="dxa"/>
            <w:tcBorders/>
            <w:shd w:fill="CCEEFF" w:val="clear"/>
            <w:tcMar>
              <w:bottom w:w="0" w:type="dxa"/>
            </w:tcMar>
            <w:vAlign w:val="center"/>
          </w:tcPr>
          <w:p>
            <w:pPr>
              <w:pStyle w:val="TableContents"/>
              <w:bidi w:val="0"/>
              <w:spacing w:before="0" w:after="283"/>
              <w:jc w:val="right"/>
              <w:rPr/>
            </w:pPr>
            <w:r>
              <w:rPr/>
              <w:t>1,483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1,483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646" w:type="dxa"/>
            <w:tcBorders/>
            <w:tcMar>
              <w:bottom w:w="0" w:type="dxa"/>
            </w:tcMar>
            <w:vAlign w:val="center"/>
          </w:tcPr>
          <w:p>
            <w:pPr>
              <w:pStyle w:val="TableContents"/>
              <w:bidi w:val="0"/>
              <w:spacing w:before="0" w:after="0"/>
              <w:ind w:left="200" w:right="0" w:hanging="0"/>
              <w:jc w:val="left"/>
              <w:rPr>
                <w:spacing w:val="4"/>
              </w:rPr>
            </w:pPr>
            <w:r>
              <w:rPr>
                <w:spacing w:val="4"/>
              </w:rPr>
              <w:t xml:space="preserve">Exploration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68" w:type="dxa"/>
            <w:tcBorders/>
            <w:tcMar>
              <w:bottom w:w="0" w:type="dxa"/>
            </w:tcMar>
            <w:vAlign w:val="center"/>
          </w:tcPr>
          <w:p>
            <w:pPr>
              <w:pStyle w:val="TableContents"/>
              <w:bidi w:val="0"/>
              <w:spacing w:before="0" w:after="283"/>
              <w:jc w:val="right"/>
              <w:rPr/>
            </w:pPr>
            <w:r>
              <w:rPr/>
              <w:t>227,501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20" w:type="dxa"/>
            <w:tcBorders/>
            <w:tcMar>
              <w:bottom w:w="0" w:type="dxa"/>
            </w:tcMar>
            <w:vAlign w:val="center"/>
          </w:tcPr>
          <w:p>
            <w:pPr>
              <w:pStyle w:val="TableContents"/>
              <w:bidi w:val="0"/>
              <w:spacing w:before="0" w:after="283"/>
              <w:jc w:val="right"/>
              <w:rPr/>
            </w:pPr>
            <w:r>
              <w:rPr/>
              <w:t>7,305</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220,196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3,014</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64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Office and administrative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68" w:type="dxa"/>
            <w:tcBorders/>
            <w:shd w:fill="CCEEFF" w:val="clear"/>
            <w:tcMar>
              <w:bottom w:w="0" w:type="dxa"/>
            </w:tcMar>
            <w:vAlign w:val="center"/>
          </w:tcPr>
          <w:p>
            <w:pPr>
              <w:pStyle w:val="TableContents"/>
              <w:bidi w:val="0"/>
              <w:spacing w:before="0" w:after="283"/>
              <w:jc w:val="right"/>
              <w:rPr/>
            </w:pPr>
            <w:r>
              <w:rPr/>
              <w:t>404,676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30,730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373,946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646" w:type="dxa"/>
            <w:tcBorders/>
            <w:tcMar>
              <w:bottom w:w="0" w:type="dxa"/>
            </w:tcMar>
            <w:vAlign w:val="center"/>
          </w:tcPr>
          <w:p>
            <w:pPr>
              <w:pStyle w:val="TableContents"/>
              <w:bidi w:val="0"/>
              <w:spacing w:before="0" w:after="0"/>
              <w:ind w:left="200" w:right="0" w:hanging="0"/>
              <w:jc w:val="left"/>
              <w:rPr>
                <w:spacing w:val="4"/>
              </w:rPr>
            </w:pPr>
            <w:r>
              <w:rPr>
                <w:spacing w:val="4"/>
              </w:rPr>
              <w:t xml:space="preserve">Professional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68" w:type="dxa"/>
            <w:tcBorders/>
            <w:tcMar>
              <w:bottom w:w="0" w:type="dxa"/>
            </w:tcMar>
            <w:vAlign w:val="center"/>
          </w:tcPr>
          <w:p>
            <w:pPr>
              <w:pStyle w:val="TableContents"/>
              <w:bidi w:val="0"/>
              <w:spacing w:before="0" w:after="283"/>
              <w:jc w:val="right"/>
              <w:rPr/>
            </w:pPr>
            <w:r>
              <w:rPr/>
              <w:t>458,920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20" w:type="dxa"/>
            <w:tcBorders/>
            <w:tcMar>
              <w:bottom w:w="0" w:type="dxa"/>
            </w:tcMar>
            <w:vAlign w:val="center"/>
          </w:tcPr>
          <w:p>
            <w:pPr>
              <w:pStyle w:val="TableContents"/>
              <w:bidi w:val="0"/>
              <w:spacing w:before="0" w:after="283"/>
              <w:jc w:val="right"/>
              <w:rPr/>
            </w:pPr>
            <w:r>
              <w:rPr/>
              <w:t>502,913</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(43,993)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64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Rent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68" w:type="dxa"/>
            <w:tcBorders/>
            <w:shd w:fill="CCEEFF" w:val="clear"/>
            <w:tcMar>
              <w:bottom w:w="0" w:type="dxa"/>
            </w:tcMar>
            <w:vAlign w:val="center"/>
          </w:tcPr>
          <w:p>
            <w:pPr>
              <w:pStyle w:val="TableContents"/>
              <w:bidi w:val="0"/>
              <w:spacing w:before="0" w:after="283"/>
              <w:jc w:val="right"/>
              <w:rPr/>
            </w:pPr>
            <w:r>
              <w:rPr/>
              <w:t>72,742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26,460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46,282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646" w:type="dxa"/>
            <w:tcBorders/>
            <w:tcMar>
              <w:bottom w:w="0" w:type="dxa"/>
            </w:tcMar>
            <w:vAlign w:val="center"/>
          </w:tcPr>
          <w:p>
            <w:pPr>
              <w:pStyle w:val="TableContents"/>
              <w:bidi w:val="0"/>
              <w:spacing w:before="0" w:after="0"/>
              <w:ind w:left="200" w:right="0" w:hanging="0"/>
              <w:jc w:val="left"/>
              <w:rPr>
                <w:spacing w:val="4"/>
              </w:rPr>
            </w:pPr>
            <w:r>
              <w:rPr>
                <w:spacing w:val="4"/>
              </w:rPr>
              <w:t xml:space="preserve">Investor relations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68" w:type="dxa"/>
            <w:tcBorders/>
            <w:tcMar>
              <w:bottom w:w="0" w:type="dxa"/>
            </w:tcMar>
            <w:vAlign w:val="center"/>
          </w:tcPr>
          <w:p>
            <w:pPr>
              <w:pStyle w:val="TableContents"/>
              <w:bidi w:val="0"/>
              <w:spacing w:before="0" w:after="283"/>
              <w:jc w:val="right"/>
              <w:rPr/>
            </w:pPr>
            <w:r>
              <w:rPr/>
              <w:t>89,821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20"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89,821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64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Salaries and wages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68" w:type="dxa"/>
            <w:tcBorders/>
            <w:shd w:fill="CCEEFF" w:val="clear"/>
            <w:tcMar>
              <w:bottom w:w="0" w:type="dxa"/>
            </w:tcMar>
            <w:vAlign w:val="center"/>
          </w:tcPr>
          <w:p>
            <w:pPr>
              <w:pStyle w:val="TableContents"/>
              <w:bidi w:val="0"/>
              <w:spacing w:before="0" w:after="283"/>
              <w:jc w:val="right"/>
              <w:rPr/>
            </w:pPr>
            <w:r>
              <w:rPr/>
              <w:t>57,941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57,941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646" w:type="dxa"/>
            <w:tcBorders/>
            <w:tcMar>
              <w:bottom w:w="0" w:type="dxa"/>
            </w:tcMar>
            <w:vAlign w:val="center"/>
          </w:tcPr>
          <w:p>
            <w:pPr>
              <w:pStyle w:val="TableContents"/>
              <w:bidi w:val="0"/>
              <w:spacing w:before="0" w:after="0"/>
              <w:ind w:left="200" w:right="0" w:hanging="0"/>
              <w:jc w:val="left"/>
              <w:rPr>
                <w:spacing w:val="4"/>
              </w:rPr>
            </w:pPr>
            <w:r>
              <w:rPr>
                <w:spacing w:val="4"/>
              </w:rPr>
              <w:t xml:space="preserve">Licensing fee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68" w:type="dxa"/>
            <w:tcBorders/>
            <w:tcMar>
              <w:bottom w:w="0" w:type="dxa"/>
            </w:tcMar>
            <w:vAlign w:val="center"/>
          </w:tcPr>
          <w:p>
            <w:pPr>
              <w:pStyle w:val="TableContents"/>
              <w:bidi w:val="0"/>
              <w:spacing w:before="0" w:after="283"/>
              <w:jc w:val="right"/>
              <w:rPr/>
            </w:pPr>
            <w:r>
              <w:rPr/>
              <w:t>13,646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20"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13,646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64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Travel and entertainment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68" w:type="dxa"/>
            <w:tcBorders/>
            <w:shd w:fill="CCEEFF" w:val="clear"/>
            <w:tcMar>
              <w:bottom w:w="0" w:type="dxa"/>
            </w:tcMar>
            <w:vAlign w:val="center"/>
          </w:tcPr>
          <w:p>
            <w:pPr>
              <w:pStyle w:val="TableContents"/>
              <w:bidi w:val="0"/>
              <w:spacing w:before="0" w:after="283"/>
              <w:jc w:val="right"/>
              <w:rPr/>
            </w:pPr>
            <w:r>
              <w:rPr/>
              <w:t>51,462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98,846</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(47,384)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646" w:type="dxa"/>
            <w:tcBorders>
              <w:bottom w:val="single" w:sz="2" w:space="0" w:color="FFFFFF"/>
            </w:tcBorders>
            <w:tcMar>
              <w:bottom w:w="50" w:type="dxa"/>
            </w:tcMar>
            <w:vAlign w:val="center"/>
          </w:tcPr>
          <w:p>
            <w:pPr>
              <w:pStyle w:val="TableContents"/>
              <w:bidi w:val="0"/>
              <w:spacing w:before="0" w:after="0"/>
              <w:jc w:val="left"/>
              <w:rPr>
                <w:b/>
              </w:rPr>
            </w:pPr>
            <w:r>
              <w:rPr>
                <w:b/>
                <w:spacing w:val="-4"/>
              </w:rPr>
              <w:t>Total operating expenses</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68" w:type="dxa"/>
            <w:tcBorders>
              <w:bottom w:val="single" w:sz="2" w:space="0" w:color="000000"/>
            </w:tcBorders>
            <w:tcMar>
              <w:bottom w:w="50" w:type="dxa"/>
            </w:tcMar>
            <w:vAlign w:val="center"/>
          </w:tcPr>
          <w:p>
            <w:pPr>
              <w:pStyle w:val="TableContents"/>
              <w:bidi w:val="0"/>
              <w:spacing w:before="0" w:after="283"/>
              <w:jc w:val="right"/>
              <w:rPr/>
            </w:pPr>
            <w:r>
              <w:rPr/>
              <w:t>(1,462,103)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000000"/>
            </w:tcBorders>
            <w:tcMar>
              <w:bottom w:w="50" w:type="dxa"/>
            </w:tcMar>
            <w:vAlign w:val="center"/>
          </w:tcPr>
          <w:p>
            <w:pPr>
              <w:pStyle w:val="TableContents"/>
              <w:bidi w:val="0"/>
              <w:spacing w:before="0" w:after="283"/>
              <w:jc w:val="right"/>
              <w:rPr/>
            </w:pPr>
            <w:r>
              <w:rPr/>
              <w:t>​</w:t>
            </w:r>
          </w:p>
        </w:tc>
        <w:tc>
          <w:tcPr>
            <w:tcW w:w="1020" w:type="dxa"/>
            <w:tcBorders>
              <w:bottom w:val="single" w:sz="2" w:space="0" w:color="000000"/>
            </w:tcBorders>
            <w:tcMar>
              <w:bottom w:w="50" w:type="dxa"/>
            </w:tcMar>
            <w:vAlign w:val="center"/>
          </w:tcPr>
          <w:p>
            <w:pPr>
              <w:pStyle w:val="TableContents"/>
              <w:bidi w:val="0"/>
              <w:spacing w:before="0" w:after="283"/>
              <w:jc w:val="right"/>
              <w:rPr/>
            </w:pPr>
            <w:r>
              <w:rPr/>
              <w:t>(666,565)</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88" w:type="dxa"/>
            <w:tcBorders>
              <w:bottom w:val="single" w:sz="2" w:space="0" w:color="000000"/>
            </w:tcBorders>
            <w:tcMar>
              <w:bottom w:w="50" w:type="dxa"/>
            </w:tcMar>
            <w:vAlign w:val="center"/>
          </w:tcPr>
          <w:p>
            <w:pPr>
              <w:pStyle w:val="TableContents"/>
              <w:bidi w:val="0"/>
              <w:spacing w:before="0" w:after="283"/>
              <w:jc w:val="right"/>
              <w:rPr/>
            </w:pPr>
            <w:r>
              <w:rPr/>
              <w:t>(795,538)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119</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646" w:type="dxa"/>
            <w:tcBorders/>
            <w:shd w:fill="CCEEFF" w:val="clear"/>
            <w:tcMar>
              <w:bottom w:w="0" w:type="dxa"/>
            </w:tcMar>
            <w:vAlign w:val="center"/>
          </w:tcPr>
          <w:p>
            <w:pPr>
              <w:pStyle w:val="TableContents"/>
              <w:bidi w:val="0"/>
              <w:spacing w:before="0" w:after="283"/>
              <w:jc w:val="left"/>
              <w:rPr/>
            </w:pPr>
            <w:r>
              <w:rPr>
                <w:spacing w:val="-4"/>
              </w:rPr>
              <w:t>Other income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64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Loss on foreign currency transactions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68" w:type="dxa"/>
            <w:tcBorders>
              <w:bottom w:val="single" w:sz="2" w:space="0" w:color="000000"/>
            </w:tcBorders>
            <w:tcMar>
              <w:bottom w:w="50" w:type="dxa"/>
            </w:tcMar>
            <w:vAlign w:val="center"/>
          </w:tcPr>
          <w:p>
            <w:pPr>
              <w:pStyle w:val="TableContents"/>
              <w:bidi w:val="0"/>
              <w:spacing w:before="0" w:after="283"/>
              <w:jc w:val="right"/>
              <w:rPr/>
            </w:pPr>
            <w:r>
              <w:rPr/>
              <w:t>(9,779)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000000"/>
            </w:tcBorders>
            <w:tcMar>
              <w:bottom w:w="50" w:type="dxa"/>
            </w:tcMar>
            <w:vAlign w:val="center"/>
          </w:tcPr>
          <w:p>
            <w:pPr>
              <w:pStyle w:val="TableContents"/>
              <w:bidi w:val="0"/>
              <w:spacing w:before="0" w:after="283"/>
              <w:jc w:val="right"/>
              <w:rPr/>
            </w:pPr>
            <w:r>
              <w:rPr/>
              <w:t>​</w:t>
            </w:r>
          </w:p>
        </w:tc>
        <w:tc>
          <w:tcPr>
            <w:tcW w:w="1020" w:type="dxa"/>
            <w:tcBorders>
              <w:bottom w:val="single" w:sz="2" w:space="0" w:color="000000"/>
            </w:tcBorders>
            <w:tcMar>
              <w:bottom w:w="50" w:type="dxa"/>
            </w:tcMar>
            <w:vAlign w:val="center"/>
          </w:tcPr>
          <w:p>
            <w:pPr>
              <w:pStyle w:val="TableContents"/>
              <w:bidi w:val="0"/>
              <w:spacing w:before="0" w:after="283"/>
              <w:jc w:val="right"/>
              <w:rPr/>
            </w:pPr>
            <w:r>
              <w:rPr/>
              <w:t>(430)</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88" w:type="dxa"/>
            <w:tcBorders>
              <w:bottom w:val="single" w:sz="2" w:space="0" w:color="000000"/>
            </w:tcBorders>
            <w:tcMar>
              <w:bottom w:w="50" w:type="dxa"/>
            </w:tcMar>
            <w:vAlign w:val="center"/>
          </w:tcPr>
          <w:p>
            <w:pPr>
              <w:pStyle w:val="TableContents"/>
              <w:bidi w:val="0"/>
              <w:spacing w:before="0" w:after="283"/>
              <w:jc w:val="right"/>
              <w:rPr/>
            </w:pPr>
            <w:r>
              <w:rPr/>
              <w:t>(9,349)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2,174</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646" w:type="dxa"/>
            <w:tcBorders/>
            <w:shd w:fill="CCEEFF" w:val="clear"/>
            <w:tcMar>
              <w:bottom w:w="0" w:type="dxa"/>
            </w:tcMar>
            <w:vAlign w:val="center"/>
          </w:tcPr>
          <w:p>
            <w:pPr>
              <w:pStyle w:val="TableContents"/>
              <w:bidi w:val="0"/>
              <w:spacing w:before="0" w:after="0"/>
              <w:jc w:val="left"/>
              <w:rPr>
                <w:b/>
              </w:rPr>
            </w:pPr>
            <w:r>
              <w:rPr>
                <w:b/>
                <w:spacing w:val="-4"/>
              </w:rPr>
              <w:t>Net loss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68" w:type="dxa"/>
            <w:tcBorders/>
            <w:shd w:fill="CCEEFF" w:val="clear"/>
            <w:tcMar>
              <w:bottom w:w="0" w:type="dxa"/>
            </w:tcMar>
            <w:vAlign w:val="center"/>
          </w:tcPr>
          <w:p>
            <w:pPr>
              <w:pStyle w:val="TableContents"/>
              <w:bidi w:val="0"/>
              <w:spacing w:before="0" w:after="283"/>
              <w:jc w:val="right"/>
              <w:rPr/>
            </w:pPr>
            <w:r>
              <w:rPr/>
              <w:t>(1,471,882)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20" w:type="dxa"/>
            <w:tcBorders/>
            <w:shd w:fill="CCEEFF" w:val="clear"/>
            <w:tcMar>
              <w:bottom w:w="0" w:type="dxa"/>
            </w:tcMar>
            <w:vAlign w:val="center"/>
          </w:tcPr>
          <w:p>
            <w:pPr>
              <w:pStyle w:val="TableContents"/>
              <w:bidi w:val="0"/>
              <w:spacing w:before="0" w:after="283"/>
              <w:jc w:val="right"/>
              <w:rPr/>
            </w:pPr>
            <w:r>
              <w:rPr/>
              <w:t>(666,995)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(804,887)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646" w:type="dxa"/>
            <w:tcBorders>
              <w:bottom w:val="single" w:sz="2" w:space="0" w:color="FFFFFF"/>
            </w:tcBorders>
            <w:tcMar>
              <w:bottom w:w="50" w:type="dxa"/>
            </w:tcMar>
            <w:vAlign w:val="center"/>
          </w:tcPr>
          <w:p>
            <w:pPr>
              <w:pStyle w:val="TableContents"/>
              <w:bidi w:val="0"/>
              <w:spacing w:before="0" w:after="0"/>
              <w:jc w:val="left"/>
              <w:rPr>
                <w:b/>
              </w:rPr>
            </w:pPr>
            <w:r>
              <w:rPr>
                <w:b/>
                <w:spacing w:val="-4"/>
              </w:rPr>
              <w:t>Preferred stock dividends</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68" w:type="dxa"/>
            <w:tcBorders>
              <w:bottom w:val="single" w:sz="2" w:space="0" w:color="000000"/>
            </w:tcBorders>
            <w:tcMar>
              <w:bottom w:w="50" w:type="dxa"/>
            </w:tcMar>
            <w:vAlign w:val="center"/>
          </w:tcPr>
          <w:p>
            <w:pPr>
              <w:pStyle w:val="TableContents"/>
              <w:bidi w:val="0"/>
              <w:spacing w:before="0" w:after="283"/>
              <w:jc w:val="right"/>
              <w:rPr/>
            </w:pPr>
            <w:r>
              <w:rPr/>
              <w:t>(32,548)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000000"/>
            </w:tcBorders>
            <w:tcMar>
              <w:bottom w:w="50" w:type="dxa"/>
            </w:tcMar>
            <w:vAlign w:val="center"/>
          </w:tcPr>
          <w:p>
            <w:pPr>
              <w:pStyle w:val="TableContents"/>
              <w:bidi w:val="0"/>
              <w:spacing w:before="0" w:after="283"/>
              <w:jc w:val="right"/>
              <w:rPr/>
            </w:pPr>
            <w:r>
              <w:rPr/>
              <w:t>​</w:t>
            </w:r>
          </w:p>
        </w:tc>
        <w:tc>
          <w:tcPr>
            <w:tcW w:w="1020" w:type="dxa"/>
            <w:tcBorders>
              <w:bottom w:val="single" w:sz="2" w:space="0" w:color="000000"/>
            </w:tcBorders>
            <w:tcMar>
              <w:bottom w:w="50" w:type="dxa"/>
            </w:tcMar>
            <w:vAlign w:val="center"/>
          </w:tcPr>
          <w:p>
            <w:pPr>
              <w:pStyle w:val="TableContents"/>
              <w:bidi w:val="0"/>
              <w:spacing w:before="0" w:after="283"/>
              <w:jc w:val="righ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88" w:type="dxa"/>
            <w:tcBorders>
              <w:bottom w:val="single" w:sz="2" w:space="0" w:color="000000"/>
            </w:tcBorders>
            <w:tcMar>
              <w:bottom w:w="50" w:type="dxa"/>
            </w:tcMar>
            <w:vAlign w:val="center"/>
          </w:tcPr>
          <w:p>
            <w:pPr>
              <w:pStyle w:val="TableContents"/>
              <w:bidi w:val="0"/>
              <w:spacing w:before="0" w:after="283"/>
              <w:jc w:val="right"/>
              <w:rPr/>
            </w:pPr>
            <w:r>
              <w:rPr/>
              <w:t>(32,548)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100</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646" w:type="dxa"/>
            <w:tcBorders/>
            <w:shd w:fill="CCEEFF" w:val="clear"/>
            <w:tcMar>
              <w:bottom w:w="0" w:type="dxa"/>
            </w:tcMar>
            <w:vAlign w:val="center"/>
          </w:tcPr>
          <w:p>
            <w:pPr>
              <w:pStyle w:val="TableContents"/>
              <w:bidi w:val="0"/>
              <w:spacing w:before="0" w:after="0"/>
              <w:jc w:val="left"/>
              <w:rPr>
                <w:b/>
              </w:rPr>
            </w:pPr>
            <w:r>
              <w:rPr>
                <w:b/>
                <w:spacing w:val="-4"/>
              </w:rPr>
              <w:t>Net loss attributable to common shareholders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68" w:type="dxa"/>
            <w:tcBorders>
              <w:bottom w:val="double" w:sz="8" w:space="0" w:color="000000"/>
            </w:tcBorders>
            <w:shd w:fill="CCEEFF" w:val="clear"/>
            <w:tcMar>
              <w:bottom w:w="50" w:type="dxa"/>
            </w:tcMar>
            <w:vAlign w:val="center"/>
          </w:tcPr>
          <w:p>
            <w:pPr>
              <w:pStyle w:val="TableContents"/>
              <w:bidi w:val="0"/>
              <w:spacing w:before="0" w:after="283"/>
              <w:jc w:val="right"/>
              <w:rPr/>
            </w:pPr>
            <w:r>
              <w:rPr/>
              <w:t>(1,504,430)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20" w:type="dxa"/>
            <w:tcBorders>
              <w:bottom w:val="double" w:sz="8" w:space="0" w:color="000000"/>
            </w:tcBorders>
            <w:shd w:fill="CCEEFF" w:val="clear"/>
            <w:tcMar>
              <w:bottom w:w="50" w:type="dxa"/>
            </w:tcMar>
            <w:vAlign w:val="center"/>
          </w:tcPr>
          <w:p>
            <w:pPr>
              <w:pStyle w:val="TableContents"/>
              <w:bidi w:val="0"/>
              <w:spacing w:before="0" w:after="283"/>
              <w:jc w:val="right"/>
              <w:rPr/>
            </w:pPr>
            <w:r>
              <w:rPr/>
              <w:t>(666,995)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88" w:type="dxa"/>
            <w:tcBorders>
              <w:bottom w:val="double" w:sz="8" w:space="0" w:color="000000"/>
            </w:tcBorders>
            <w:shd w:fill="CCEEFF" w:val="clear"/>
            <w:tcMar>
              <w:bottom w:w="50" w:type="dxa"/>
            </w:tcMar>
            <w:vAlign w:val="center"/>
          </w:tcPr>
          <w:p>
            <w:pPr>
              <w:pStyle w:val="TableContents"/>
              <w:bidi w:val="0"/>
              <w:spacing w:before="0" w:after="283"/>
              <w:jc w:val="right"/>
              <w:rPr/>
            </w:pPr>
            <w:r>
              <w:rPr/>
              <w:t>(837,435)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7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February 28, 2026, we incurred a net loss of $1,471,882 compared to a net loss of $666,995 for the three months ended February 28, 2025. An analysis of the increase in net loss of $804,887 including the major components of our results for the periods, is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Business development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development expenses for the three months ended February 28, 2026, was $80,450, an increase of $80,450 compared to $Nil for the three months ended February 28, 2025. This increase is primarily driven by the Company’s engagement of external business development firms as part of its efforts to complete its go public transaction, which did not occur in the prior period. </w:t>
      </w:r>
    </w:p>
    <w:p>
      <w:pPr>
        <w:pStyle w:val="TextBody"/>
        <w:bidi w:val="0"/>
        <w:spacing w:lineRule="atLeast" w:line="240" w:before="23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Exploration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Exploration expenses for the three months ended February 28, 2026, was $227,501, an increase of $220,196 compared to $7,305 for the three months ended February 28, 2025. The increase is primarily driven by activities undertaken by the Company on mineral rights assessments and other related work in connection with the Aurora Uranium Project, in preparation for the commencement of a new exploration program. </w:t>
      </w:r>
    </w:p>
    <w:p>
      <w:pPr>
        <w:pStyle w:val="TextBody"/>
        <w:bidi w:val="0"/>
        <w:spacing w:lineRule="atLeast" w:line="240" w:before="23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Office and administrative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Office and administrative expenses for the three months ended February 28, 2026, were $404,676, an increase of $373,946 compared to $30,730 for the three months ended February 28, 2025. This increase is primarily driven by expanded operations. This includes a $231,116 increase in marketing expenses incurred by the Company for various advertising and promotional activities in connection with the Company’s recent listing, an $67,089 increase in various recruitment, website, telecommunication, and other office expenses, and an increase of approximately $50,000 in expenses incurred for Nasdaq entry and listing fees. </w:t>
      </w:r>
    </w:p>
    <w:p>
      <w:pPr>
        <w:pStyle w:val="TextBody"/>
        <w:bidi w:val="0"/>
        <w:spacing w:lineRule="atLeast" w:line="240" w:before="23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Professional fees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Professional fees for the three months ended February 28, 2026, were $458,920, a decrease of $43,993 compared to $502,913 for the three months ended February 28, 2025. This decrease is primarily driven by a number of expenditures in legal and accounting fees being classified as transaction costs for the de-SPAC transaction of the Company and offset against additional paid-in capital.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Rent expense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Rent expense for the three months ended February 28, 2026, was $72,742, an increase of $46,282 compared to $26,460 for the three months ended February 28, 2025. This increase is primarily driven by two new leases for new offices in Vancouver commencing November 2025 and New York commencing January 2026.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 relations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 relations for the three months February 28, 2026, was $89,821, an increase of $89,821 compared to $Nil for the three months ended February 28, 2025. This increase is primarily driven by the Company’s engagement of an external investor relations firm as part of its efforts to go public, which did not occur in the prior period.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Salaries and wages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Salaries and wages for the three months February 28, 2026, was $57,941, an increase of $57,941 compared to $Nil for the three months ended February 28, 2025. This increase is mainly due to the hiring of a full-time Head of Licensing in November 2025.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Licensing fee expense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Licensing fee expense for the three months February 28, 2026, was $13,646, an increase of $13,646 compared to $Nil for the three months ended February 28, 2025. This increase is due to the Company’s entrance into a patent license agreement with UNM Rainforest Innovations in June 2025.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Travel and entertainment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Travel and entertainment expense for the three months ended February 28, 2026, was $51,462, a decrease of $47,384 compared to $98,846 for the three months ended February 28, 2025. This decrease is mainly driven by reduced travel in the current period compared to the prior quarter.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Liquidity and Capital Resources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continually monitor and manage cash flow to assess the liquidity necessary to fund operations and capital projects. We manage our capital resources and adjust them to take into account changes in economic conditions and the risk characteristics of the underlying assets. To maintain or adjust our capital resources, we may, where necessary, control the amount of working capital, pursue financing or manage the timing of our capital expenditures. As of February 28, 2026, we had a working capital of $30,703,239 (current assets of $31,502,013, less current liabilities of $798,774). As of November 30, 2025, we had a working capital of $621,306 (current assets of $1,464,825, less current liabilities of $843,519).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continuing operations are dependent upon our ability to obtain debt or equity financing until such time that we achieve profitable operations. There can be no assurance that we will gain adequate market acceptance for our products or be able to generate sufficient gross margins to reach profitability.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our inception, we have incurred operating losses and have experienced negative cash flows from operations. While the Company had a positive working capital as at February 28, 2026, the Company expects to expend significant portion of its assets to fund ongoing operations and planned exploration activities, and is currently pre-revenue. Management assessed the Company currently has cash resources that could sustain operations for the next 24 months, as a result of recently completed financings.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28, 2026, we had $31,433,782 in cash, including restricted cash. We are actively managing current cash flows until such time that we are profitable.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 below highlights our cash flows for the period indicated: </w:t>
      </w:r>
    </w:p>
    <w:tbl>
      <w:tblPr>
        <w:tblW w:w="8812" w:type="dxa"/>
        <w:jc w:val="left"/>
        <w:tblInd w:w="1393" w:type="dxa"/>
        <w:tblLayout w:type="fixed"/>
        <w:tblCellMar>
          <w:top w:w="0" w:type="dxa"/>
          <w:left w:w="0" w:type="dxa"/>
          <w:bottom w:w="28" w:type="dxa"/>
          <w:right w:w="0" w:type="dxa"/>
        </w:tblCellMar>
      </w:tblPr>
      <w:tblGrid>
        <w:gridCol w:w="3649"/>
        <w:gridCol w:w="109"/>
        <w:gridCol w:w="109"/>
        <w:gridCol w:w="163"/>
        <w:gridCol w:w="163"/>
        <w:gridCol w:w="1816"/>
        <w:gridCol w:w="163"/>
        <w:gridCol w:w="109"/>
        <w:gridCol w:w="109"/>
        <w:gridCol w:w="176"/>
        <w:gridCol w:w="176"/>
        <w:gridCol w:w="1735"/>
        <w:gridCol w:w="176"/>
        <w:gridCol w:w="159"/>
      </w:tblGrid>
      <w:tr>
        <w:trPr/>
        <w:tc>
          <w:tcPr>
            <w:tcW w:w="36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three months ended</w:t>
            </w:r>
            <w:r>
              <w:rPr/>
              <w:t xml:space="preserve"> </w:t>
              <w:br/>
            </w:r>
            <w:r>
              <w:rPr>
                <w:spacing w:val="-3"/>
              </w:rPr>
              <w:t>February 28, 2026</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three months ended</w:t>
            </w:r>
            <w:r>
              <w:rPr/>
              <w:t xml:space="preserve"> </w:t>
              <w:br/>
            </w:r>
            <w:r>
              <w:rPr>
                <w:spacing w:val="-3"/>
              </w:rPr>
              <w:t>February 28, 2025</w:t>
            </w:r>
            <w:r>
              <w:rPr/>
              <w:t xml:space="preserve"> </w:t>
              <w:br/>
            </w:r>
            <w:r>
              <w:rPr>
                <w:spacing w:val="-3"/>
              </w:rPr>
              <w:t xml:space="preserve">$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3649" w:type="dxa"/>
            <w:tcBorders/>
            <w:shd w:fill="CCEEFF" w:val="clear"/>
            <w:tcMar>
              <w:bottom w:w="0" w:type="dxa"/>
            </w:tcMar>
            <w:vAlign w:val="center"/>
          </w:tcPr>
          <w:p>
            <w:pPr>
              <w:pStyle w:val="TableContents"/>
              <w:bidi w:val="0"/>
              <w:spacing w:before="0" w:after="283"/>
              <w:jc w:val="left"/>
              <w:rPr>
                <w:spacing w:val="4"/>
              </w:rPr>
            </w:pPr>
            <w:r>
              <w:rPr>
                <w:spacing w:val="4"/>
              </w:rPr>
              <w:t xml:space="preserve">Net cash provided by (used 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816"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1735"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3649" w:type="dxa"/>
            <w:tcBorders/>
            <w:tcMar>
              <w:bottom w:w="0" w:type="dxa"/>
            </w:tcMar>
            <w:vAlign w:val="center"/>
          </w:tcPr>
          <w:p>
            <w:pPr>
              <w:pStyle w:val="TableContents"/>
              <w:bidi w:val="0"/>
              <w:spacing w:before="0" w:after="0"/>
              <w:jc w:val="left"/>
              <w:rPr>
                <w:spacing w:val="4"/>
              </w:rPr>
            </w:pPr>
            <w:r>
              <w:rPr>
                <w:spacing w:val="4"/>
              </w:rPr>
              <w:t xml:space="preserve">Operating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816" w:type="dxa"/>
            <w:tcBorders/>
            <w:tcMar>
              <w:bottom w:w="0" w:type="dxa"/>
            </w:tcMar>
            <w:vAlign w:val="center"/>
          </w:tcPr>
          <w:p>
            <w:pPr>
              <w:pStyle w:val="TableContents"/>
              <w:bidi w:val="0"/>
              <w:spacing w:before="0" w:after="283"/>
              <w:jc w:val="right"/>
              <w:rPr/>
            </w:pPr>
            <w:r>
              <w:rPr/>
              <w:t>(1,569,303)</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1735" w:type="dxa"/>
            <w:tcBorders/>
            <w:tcMar>
              <w:bottom w:w="0" w:type="dxa"/>
            </w:tcMar>
            <w:vAlign w:val="center"/>
          </w:tcPr>
          <w:p>
            <w:pPr>
              <w:pStyle w:val="TableContents"/>
              <w:bidi w:val="0"/>
              <w:spacing w:before="0" w:after="283"/>
              <w:jc w:val="right"/>
              <w:rPr/>
            </w:pPr>
            <w:r>
              <w:rPr/>
              <w:t>(785,897)</w:t>
            </w:r>
          </w:p>
        </w:tc>
        <w:tc>
          <w:tcPr>
            <w:tcW w:w="17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3649" w:type="dxa"/>
            <w:tcBorders/>
            <w:shd w:fill="CCEEFF" w:val="clear"/>
            <w:tcMar>
              <w:bottom w:w="0" w:type="dxa"/>
            </w:tcMar>
            <w:vAlign w:val="center"/>
          </w:tcPr>
          <w:p>
            <w:pPr>
              <w:pStyle w:val="TableContents"/>
              <w:bidi w:val="0"/>
              <w:spacing w:before="0" w:after="0"/>
              <w:jc w:val="left"/>
              <w:rPr>
                <w:spacing w:val="4"/>
              </w:rPr>
            </w:pPr>
            <w:r>
              <w:rPr>
                <w:spacing w:val="4"/>
              </w:rPr>
              <w:t xml:space="preserve">Investing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816" w:type="dxa"/>
            <w:tcBorders/>
            <w:shd w:fill="CCEEFF" w:val="clear"/>
            <w:tcMar>
              <w:bottom w:w="0" w:type="dxa"/>
            </w:tcMar>
            <w:vAlign w:val="center"/>
          </w:tcPr>
          <w:p>
            <w:pPr>
              <w:pStyle w:val="TableContents"/>
              <w:bidi w:val="0"/>
              <w:spacing w:before="0" w:after="283"/>
              <w:jc w:val="right"/>
              <w:rPr/>
            </w:pPr>
            <w:r>
              <w:rPr/>
              <w:t>69,348</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1735" w:type="dxa"/>
            <w:tcBorders/>
            <w:shd w:fill="CCEEFF" w:val="clear"/>
            <w:tcMar>
              <w:bottom w:w="0" w:type="dxa"/>
            </w:tcMar>
            <w:vAlign w:val="center"/>
          </w:tcPr>
          <w:p>
            <w:pPr>
              <w:pStyle w:val="TableContents"/>
              <w:bidi w:val="0"/>
              <w:spacing w:before="0" w:after="283"/>
              <w:jc w:val="right"/>
              <w:rPr/>
            </w:pPr>
            <w:r>
              <w:rPr/>
              <w:t>(300,000)</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3649" w:type="dxa"/>
            <w:tcBorders/>
            <w:tcMar>
              <w:bottom w:w="0" w:type="dxa"/>
            </w:tcMar>
            <w:vAlign w:val="center"/>
          </w:tcPr>
          <w:p>
            <w:pPr>
              <w:pStyle w:val="TableContents"/>
              <w:bidi w:val="0"/>
              <w:spacing w:before="0" w:after="0"/>
              <w:jc w:val="left"/>
              <w:rPr>
                <w:spacing w:val="4"/>
              </w:rPr>
            </w:pPr>
            <w:r>
              <w:rPr>
                <w:spacing w:val="4"/>
              </w:rPr>
              <w:t xml:space="preserve">Financing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816" w:type="dxa"/>
            <w:tcBorders/>
            <w:tcMar>
              <w:bottom w:w="0" w:type="dxa"/>
            </w:tcMar>
            <w:vAlign w:val="center"/>
          </w:tcPr>
          <w:p>
            <w:pPr>
              <w:pStyle w:val="TableContents"/>
              <w:bidi w:val="0"/>
              <w:spacing w:before="0" w:after="283"/>
              <w:jc w:val="right"/>
              <w:rPr/>
            </w:pPr>
            <w:r>
              <w:rPr/>
              <w:t>31,639,457</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1735" w:type="dxa"/>
            <w:tcBorders/>
            <w:tcMar>
              <w:bottom w:w="0" w:type="dxa"/>
            </w:tcMar>
            <w:vAlign w:val="center"/>
          </w:tcPr>
          <w:p>
            <w:pPr>
              <w:pStyle w:val="TableContents"/>
              <w:bidi w:val="0"/>
              <w:spacing w:before="0" w:after="283"/>
              <w:jc w:val="right"/>
              <w:rPr/>
            </w:pPr>
            <w:r>
              <w:rPr/>
              <w:t>2,423,557</w:t>
            </w:r>
          </w:p>
        </w:tc>
        <w:tc>
          <w:tcPr>
            <w:tcW w:w="17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3649" w:type="dxa"/>
            <w:tcBorders/>
            <w:shd w:fill="CCEEFF" w:val="clear"/>
            <w:tcMar>
              <w:bottom w:w="0" w:type="dxa"/>
            </w:tcMar>
            <w:vAlign w:val="center"/>
          </w:tcPr>
          <w:p>
            <w:pPr>
              <w:pStyle w:val="TableContents"/>
              <w:bidi w:val="0"/>
              <w:spacing w:before="0" w:after="0"/>
              <w:jc w:val="left"/>
              <w:rPr>
                <w:spacing w:val="4"/>
              </w:rPr>
            </w:pPr>
            <w:r>
              <w:rPr>
                <w:spacing w:val="4"/>
              </w:rPr>
              <w:t xml:space="preserve">Effects of foreign currency transactions on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816" w:type="dxa"/>
            <w:tcBorders/>
            <w:shd w:fill="CCEEFF" w:val="clear"/>
            <w:tcMar>
              <w:bottom w:w="0" w:type="dxa"/>
            </w:tcMar>
            <w:vAlign w:val="center"/>
          </w:tcPr>
          <w:p>
            <w:pPr>
              <w:pStyle w:val="TableContents"/>
              <w:bidi w:val="0"/>
              <w:spacing w:before="0" w:after="283"/>
              <w:jc w:val="right"/>
              <w:rPr/>
            </w:pPr>
            <w:r>
              <w:rPr/>
              <w:t>(7,648)</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1735"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3649" w:type="dxa"/>
            <w:tcBorders/>
            <w:tcMar>
              <w:bottom w:w="0" w:type="dxa"/>
            </w:tcMar>
            <w:vAlign w:val="center"/>
          </w:tcPr>
          <w:p>
            <w:pPr>
              <w:pStyle w:val="TableContents"/>
              <w:bidi w:val="0"/>
              <w:spacing w:before="0" w:after="0"/>
              <w:jc w:val="left"/>
              <w:rPr>
                <w:spacing w:val="4"/>
              </w:rPr>
            </w:pPr>
            <w:r>
              <w:rPr>
                <w:spacing w:val="4"/>
              </w:rPr>
              <w:t xml:space="preserve">Increase in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816" w:type="dxa"/>
            <w:tcBorders/>
            <w:tcMar>
              <w:bottom w:w="0" w:type="dxa"/>
            </w:tcMar>
            <w:vAlign w:val="center"/>
          </w:tcPr>
          <w:p>
            <w:pPr>
              <w:pStyle w:val="TableContents"/>
              <w:bidi w:val="0"/>
              <w:spacing w:before="0" w:after="283"/>
              <w:jc w:val="right"/>
              <w:rPr/>
            </w:pPr>
            <w:r>
              <w:rPr/>
              <w:t>30,131,854</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1735" w:type="dxa"/>
            <w:tcBorders/>
            <w:tcMar>
              <w:bottom w:w="0" w:type="dxa"/>
            </w:tcMar>
            <w:vAlign w:val="center"/>
          </w:tcPr>
          <w:p>
            <w:pPr>
              <w:pStyle w:val="TableContents"/>
              <w:bidi w:val="0"/>
              <w:spacing w:before="0" w:after="283"/>
              <w:jc w:val="right"/>
              <w:rPr/>
            </w:pPr>
            <w:r>
              <w:rPr/>
              <w:t>1,337,660</w:t>
            </w:r>
          </w:p>
        </w:tc>
        <w:tc>
          <w:tcPr>
            <w:tcW w:w="17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Used in Operating Activities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net cash used in operating activities is primarily due to cash payments for operating expenses that we incur in the day-to-day operations of the business. During the three months ended February 28, 2026, net cash used in operating activities was $1,569,303. The loss for the three months ended February 28, 2026 of $1,471,882 was increased by the changes in operating working capital of $134,262 and partially offset by $36,841 in non-cash items consisting mainly of non-cash lease adjustment.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operating activities for the three months ended February 28, 2025, was $785,897. Operating expenses resulted in a net loss of $666,995 for the period, which is increased by changes in working capital items increased cash usage by $134,152. The operating cash outflow is partially offset by $15,250 in non-cash adjustments for consulting fees settled by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Used in Investing Activities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February 28, 2026, net cash provided by investing activities totaled $69,348, primarily related to the $141,262 cash assumed by the acquisition of Oregon Energy. This was partially offset by net cash used for the purchase of property, plant and equipment, intangible assets, and investments in mineral rights, totaling $71,914.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investing activities for the three months ended February 28, 2025, was $300,000 and relates to the initial option payment for the Aurora Option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Provided by Financing Activities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funded our business to date from the issuance of our common stock through private placements, and assumption of cash from SVII through the reverse acquisition transaction undertaken in our process of going public.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February 28, 2026, net cash provided by financing activities totaled $31,639,457, primarily related to the proceeds from PIPE financing through the issuance of cumulative convertible preferred shares of $29,700,000 and $1,939,457 in cash assumed upon the reverse recapitalization transaction as mentioned above.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provided by financing activities for the three months ended February 28, 2025, was $2,423,557. The Company received proceeds from the issuance of common shares of $1,073,087 and proceeds from pending issuance of common shares of $1,350,470.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Parties are considered to be related if one party has the ability, directly or indirectly, to control the other party or exercise significant influence over the other party in making financial and operating decisions. Related parties may be individuals or corporate entities. A transaction is a related party transaction when there is a transfer of resources or obligations between related parties.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February 28, 2026, the Company incurred $45,000 (for the three months ended February 28, 2025 — $45,000) in fees to the Chief Executive Officer (the “CEO”) of the Company, and $25,000 of bonus to the CEO (for the three months ended February 28, 2025 — $Nil) payable upon completion of the de-SPAC transaction (Note 4). As of February 28, 2026, $15,000 of CEO fees (November 30, 2025 — $15,000), $25,000 of bonus (November 30, 2025 — $Nil) and $Nil in expense reimbursements (November 30, 2025 — $Nil) were included in due to related parties.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February 28, 2026, the Company incurred $32,250 (for the three months ended February 28, 2025 — $Nil) in fees with a company controlled by the Chief Financial Officer (the “CFO”) of the Company. As of February 28, 2026, $10,750 of CFO fees (November 30, 2025 — $10,750) were included in due to related parties.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February 28, 2026, the Company incurred $Nil (for the three months ended February 28, 2025 — $45,000) in fees with a company controlled by the former Chief Financial Officer (the “former CFO”) of the Company. As of February 28, 2026, $Nil of former CFO fees (November 30, 2025 — $15,000) and $Nil in expense reimbursements (November 30, 2025 — $Nil) were included in due to related parties.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February 28, 2026, the Company incurred $45,000 (for the three months ended February 28, 2025 — $45,000) of consulting fees with a company controlled by a former director of the Company, prior to the former director’s cessation upon the de-SPAC transaction. As of February 28, 2026, $Nil (November 30, 2025 — $22,500) of consulting fees and $Nil (November 30, 2025 — $7,971) in expense reimbursements were included in due to related parties. As of February 28, 2026, $30,000 (November 30, 2025 — $Nil) of such consulting fees were included in accounts payable and accrued liabilities.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February 28, 2026, the Company incurred $75,000 (for the three months ended February 28, 2025 — $121,250) of consulting fees with a company (for the three months ended February 28, 2025 — two companies) controlled by a stockholder of the Company. As of February 28, 2026, $Nil (November 30, 2025 — $232,000) of consulting fees and $15,044 (November 30, 2025 — $6,112) in expense reimbursements were included in due to related parties.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there were two stockholders, who held over 5% of the Company’s common stock during the three months ended February 28, 2025, that provided consulting services to the Company. The two stockholders no longer hold over 5% of the Company’s common stock during the three months ended February 28, 2026. During the three months ended February 28, 2026, the Company incurred $Nil (for the three months ended February 28, 2025 — $45,000) and $Nil (for the three months ended February 28, 2025 — $45,250) of consulting fees with these two stockholders. As of February 28, 2026, $Nil (November 30,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2025 — $44,819) and $Nil (November 30, 2025 — $46,250), respectively, in consulting fees to these two stockholders were included in due to related parties.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28, 2026, $Nil (November 30, 2025 — $128,064) was included in due to related parties for amounts relating to expense reimbursements due to corporations over which stockholders of the Company exercise significant influence.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28, 2026, $Nil (November 30, 2025 — $12,865) was included in due to related parties for amounts relating to expense reimbursements due to a stockholder.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Commitments and Contingencies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 2024, the Company entered into a consulting agreement with the CEO of the Company. Pursuant to the agreement, the CEO is eligible to receive a one-time cash payment of $25,000 upon completion of an initial public offering. In connection with the completion of the de-SPAC transaction (Note 4), this condition was satisfied, and accordingly, the $25,000 payment became payable and was accrued as of February 28, 2026. Following the de-SPAC transaction, the CEO is expected to enter into an executive employment agreement with the Company, which is currently subject to approval by the board of directors. Pursuant to the new executive employment agreement, if approved by the board of directors, the CEO will be entitled to receive $50,000 of cash bonus payable upon the commencement of the Company’s technical work program at the AUP, 183,333 RSUs pursuant to the EIP, and additional equity awards consisting of a mix of stock options and RSUs totaling 1,000,000 shares, with allocations to be determined by the Company’s board of directors.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 2024, the Company began leasing office space on a month-to-month basis from an unrelated third party under an operating lease agreement. The monthly payments approximate $7,500 (CAD$10,500) and ancillary expenses. During the three months ended February 28, 2026, rent expense under this agreement totaled $22,678 (for the three months ended February 28, 2025 — $26,460).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15, 2025, the Company entered into a consulting agreement with the CFO of the Company. Pursuant to the agreement, the Company will use commercially reasonable efforts to issue 90,000 stock options to the CFO upon completion of listing on Nasdaq.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16, 2025, the Company entered into an operating lease agreement from an unrelated third party for the office space in New York for 62 months, which commenced on January 1, 2026. The monthly payments approximate $14,457 and ancillary expenses. During the period ended February 28, 2026, rent expense under this agreement totaled $28,447 (February 28, 2025 — $Nil).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3, 2025, the Company entered into an operating lease agreement from an unrelated third party for the office space in Vancouver for 2 years. The monthly payments approximate $4,211 (CAD $5,787) and ancillary expenses. During the period February 28, 2026, rent expense under this agreement totaled $11,312 (February 28, 2025 — $Nil).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is comprised of our stockholders’ equity and any debt that we may issue. Our objectives when managing capital are to maintain financial strength and to protect our ability to execute our exploration and operational plans towards the development of the AUP and capabilities for the SMR business, to maintain creditworthiness and to maximize returns for our stockholders over the long term. Protecting the ability to pay current and future liabilities includes maintaining capital above minimum regulatory levels, current financial strength rating requirements and internally determined capital guidelines and calculated risk management levels. We manage capital structure to maximize financial flexibility by adjusting in response to changes in economic conditions and the risk characteristics of the underlying assets and business opportunities. We do not presently utilize any quantitative measures to monitor our capital, but rather we rely on our management’s expertise to sustain the future development of the business. Management reviews its capital management approach on an ongoing basis and believes that this approach, given our size, is reasonable.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changes to our approach to capital management during the period. We are not subject to externally imposed capital requirements.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Critical Accounting Policies and Estimates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unaudited condensed consolidated interim financial statements are prepared in accordance with generally accepted accounting principles in the U.S. The preparation of our unaudited condensed consolidated interim financial statements and related disclosures requires us to make estimates and judgments that affect the reported amounts of assets, liabilities, costs and expenses, and the disclosure of contingent assets and liabilities in our unaudited condensed consolidated interim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summary of significant accounting policies is described in more detail in the notes to our unaudited condensed consolidated interim financial statements. Please refer to Note 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Off-Balance Sheet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entered into any material off-balance sheet arrangements such as guarantee contracts, contingent interests in assets transferred to unconsolidated entities, derivative financial obligations, or with respect to any obligations under a variable interest equity arrangement.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Proposed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entered into any proposed transactions that have not been disclosed 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Subsequent Events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evaluated all events and transactions occurring subsequent to February 28, 2026, through the date the unaudited condensed consolidated interim financial statements were issued, for items requiring adjustment to or disclosure in the accompanying unaudited condensed consolidated interim financial statements and notes to the unaudited condensed consolidated interim financial statements. The Company noted no such events or transactions other than those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2026, the Company filed registration statement on Form S-1, which was subsequently amended on April 9, 2026. The registration statement relates to (i) a primary offering of up to 23,422,133 shares of common stock issuable upon the exercise of warrants and up to 5,940,000 shares of common stock issuable upon the conversion of Series A Cumulative Convertible Preferred Stock; and (ii) a secondary offering of up to 30,688,995 shares of common stock and up to 11,922,133 warrants that may be offered for resale from time to time by the selling securityholders named in the registration statement, pursuant to the Company’s registration rights obligations under the registration rights agreement entered into with certain stockholders of the Company in connection with the completion of the de-SPAC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28, 2026, the board of directors of the Company approved the increase of size of the board of directors to seven. The board of directors of the Company also approved the appointment of Mark Mukhija, CEO of the Company, as the chairman of the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6, 2026, the board of directors approved the appointment of Kuljit Basi as a director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Emerging Growth Company Status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Jumpstart Our Business Startups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for complying with new or revised accounting standards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However, we may choose to early adopt any new or revised accounting standards whenever such early adoption is permitted for private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cease to be an emerging growth company on the date that is the earliest of (i) the last day of the fiscal year in which the market value of the shares of Common Stock that are held by non-affiliates exceeds $700 million as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2027.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MDAA1"/>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DISCUSSION AND ANALYSIS OF FINANCIAL CONDITION AND RESULTS OF OPERATIONS OF OREGON ENERGY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discussion and analysis should be read in conjunction with the unaudited condensed financial statements for the three and six months ended December 31 2025, and related notes which have been prepared in accordance with US GAAP.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titled “Risk Factors” and “Cautionary Note Regarding Forward-Looking Statements” appearing elsewhere in this prospectus. All figures are in US dollars unless otherwise noted. Unless the context otherwise requires, for the purposes of this section, “Oregon Energy”, “we”, “us”, “our”, or the “Company” refer to Oregon Energy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limited liability company (“LLC”) formed on March 19, 2010 under the laws of the state of Oregon. The Company is engaged in uranium exploration, with operations registered in the states of Colorado and Nevada on October 14, 2010, and Utah on April 18, 2011 to facilitate its business activities.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member-managed, with Aurora Energy Metals Limited (“Aurora”, formerly Aurora Uranium Limited and EVE Investments Limited), a publicly listed company on the Australian Securities Exchange (ASX:1AE), holding 100% of the membership interest. The 100% interest was originally held by Amaroo Resources Limited, a subsidiary of Aurora, and was transferred to Aurora on March 13, 2015 as a result of a corporate reorganization of Aurora. No consideration was transferred and there was no financial impact on the Company as a result of the reorganization. The Company is classified as a corporation for U.S. tax purposes but remains an LLC under Oregon state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18, 2024, Aurora and the Company entered into a property option agreement with Eagle Energy Metals Inc. (“Eagle”). Under the agreement, Eagle is granted an exclusive option to acquire 100% of the membership interests in the Company, subject to certain conditions including the payment of cash option fees. Pursuant to the agreement, Eagle paid $300,000 to Aurora as an option payment on December 18, 2024. The exercise of the option is subject to further conditions, including the completion of a listing on a US exchange and the completion of specified technical and financing milestones, such as making a filing in accordance with S-K 1300. The initial option period is six months, with the right to extend for up to two further six-month periods upon additional payments and expenditure commitments.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18, 2025, Eagle exercised its right to the first six-month extension and made an additional payment of $300,000 to Aurora pursuant to the property option agreement. On November 18, 2025, Eagle exercised its right to the second six-month extension and made an additional payment of $400,000 to Aurora. As part of the extensions, Eagle is also obligated to reimburse the Company for expenses of the mining operation of the AUP amounting to up to $500,000. For the six months ended December 31, 2025, Eagle has reimbursed the Company $117,869 resulting in a cumulative reimbursement total of $201,426 as of December 31, 2025. Eagle may be subject to additional obligations upon the exercise of further extensions.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26, 2025, Aurora, Eagle, and the Company executed a first amendment to the property option agreement. The amendment (i) revised the second extension period from six-months (deadline of May 18, 2026) to a 225 day period (deadline of July 2, 2026), and (ii) provides that the Resource Payment provisions under which Aurora may be entitled to additional payment shares as mentioned above are amended such that the determination is made following the next newly prepared SK1300 mineral resource update published by Eagle.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Mineral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2010, we acquired mining claims to explore and extract uranium and other valuable minerals in certain uranium properties (Aurora Uranium Project (“AUP”)), located in Malheur County, Oregon, approximately 16 kilometers northwest of McDermitt, Nevada. As of December 31, 2025, the Company holds 263 unpatented lode mining claims and 71 unpatented placer mining claims in the AUP along with 27 unpatented placer mining claims in Humboldt County, Nevada. As of June 30, 2025, the Company held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263 unpatented lode mining claims and 71 unpatented placer mining claims in the AUP along with 31 unpatented placer mining claims in Humboldt County, Nevada. These claims collectively cover an area of approximately 43 square kilometers.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2010, we completed the acquisition of certain mineral rights located in Malheur County, Oregon at a total purchase price of $2,000,000. The transaction was executed through a Quitclaim Deed, with the Company receiving the mining claims without any warranties regarding title, mineral reserves, or environmental conditions. Certain acquired claims remained subject to a 1.5% Net Smelter Royalty (NSR) payable to a third party. In accordance with the agreement, we assumed all reclamation, bonding, environmental, and regulatory obligations related to the properties.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Accounting Standards Codification (“ASC”) 930, “Extractive Activities — Mining”, the initial acquisition costs of $2,000,000 were capitalized as mineral rights. As of June 30, 2016, the carrying value was fully impaired.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six months ended December 31, 2025, the Company paid annual maintenance fees on mining claims amounting to $75,368 (six months ended December 31, 2024 — $76,227). Such annual maintenance fees are included in exploration and evaluation expenses in the accompanying unaudited condensed statements of operations in the periods that they are incurred.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future annual maintenance payments of approximately $72,200 will be required to maintain these mineral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2025, Eagle engaged BBA USA Inc, to complete a S-K 1300 Technical Report Summary on the AUP (the “S-K 1300 AUP TRS”). BBA USA Inc completed the S-K 1300 AUP TRS which is entitled </w:t>
      </w:r>
      <w:r>
        <w:rPr>
          <w:rFonts w:ascii="Times New Roman;Times;serif" w:hAnsi="Times New Roman;Times;serif"/>
          <w:b w:val="false"/>
          <w:i/>
          <w:caps w:val="false"/>
          <w:smallCaps w:val="false"/>
          <w:color w:val="000000"/>
          <w:spacing w:val="4"/>
          <w:sz w:val="20"/>
        </w:rPr>
        <w:t>S-K 1300 Technical Report Summary Mineral Resources Estimate for the Aurora Uranium Project; Report Date: August 8, 2025</w:t>
      </w:r>
      <w:r>
        <w:rPr>
          <w:rFonts w:ascii="Times New Roman;Times;serif" w:hAnsi="Times New Roman;Times;serif"/>
          <w:b w:val="false"/>
          <w:i w:val="false"/>
          <w:caps w:val="false"/>
          <w:smallCaps w:val="false"/>
          <w:color w:val="000000"/>
          <w:spacing w:val="4"/>
          <w:sz w:val="20"/>
        </w:rPr>
        <w:t xml:space="preserve">. The report was filed with the Securities and Exchange Commission on September 30, 2025, as an exhibit to a Form S-4 for which Eagle is a co-registrant 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Quarterly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out selected quarterly financial information for our Company, which has been prepared in accordance with US GAAP: </w:t>
      </w:r>
    </w:p>
    <w:tbl>
      <w:tblPr>
        <w:tblW w:w="8812" w:type="dxa"/>
        <w:jc w:val="left"/>
        <w:tblInd w:w="1393" w:type="dxa"/>
        <w:tblLayout w:type="fixed"/>
        <w:tblCellMar>
          <w:top w:w="0" w:type="dxa"/>
          <w:left w:w="0" w:type="dxa"/>
          <w:bottom w:w="28" w:type="dxa"/>
          <w:right w:w="0" w:type="dxa"/>
        </w:tblCellMar>
      </w:tblPr>
      <w:tblGrid>
        <w:gridCol w:w="2406"/>
        <w:gridCol w:w="109"/>
        <w:gridCol w:w="109"/>
        <w:gridCol w:w="109"/>
        <w:gridCol w:w="226"/>
        <w:gridCol w:w="870"/>
        <w:gridCol w:w="109"/>
        <w:gridCol w:w="109"/>
        <w:gridCol w:w="109"/>
        <w:gridCol w:w="109"/>
        <w:gridCol w:w="226"/>
        <w:gridCol w:w="870"/>
        <w:gridCol w:w="109"/>
        <w:gridCol w:w="109"/>
        <w:gridCol w:w="109"/>
        <w:gridCol w:w="109"/>
        <w:gridCol w:w="226"/>
        <w:gridCol w:w="990"/>
        <w:gridCol w:w="109"/>
        <w:gridCol w:w="109"/>
        <w:gridCol w:w="109"/>
        <w:gridCol w:w="109"/>
        <w:gridCol w:w="226"/>
        <w:gridCol w:w="870"/>
        <w:gridCol w:w="109"/>
        <w:gridCol w:w="158"/>
      </w:tblGrid>
      <w:tr>
        <w:trPr/>
        <w:tc>
          <w:tcPr>
            <w:tcW w:w="24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46"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(Unaudited)</w:t>
            </w:r>
            <w:r>
              <w:rPr/>
              <w:t xml:space="preserve"> </w:t>
              <w:br/>
            </w:r>
            <w:r>
              <w:rPr>
                <w:spacing w:val="-3"/>
              </w:rPr>
              <w:t xml:space="preserve">3 months Ended Dec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66"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(Unaudited)</w:t>
            </w:r>
            <w:r>
              <w:rPr/>
              <w:t xml:space="preserve"> </w:t>
              <w:br/>
            </w:r>
            <w:r>
              <w:rPr>
                <w:spacing w:val="-3"/>
              </w:rPr>
              <w:t xml:space="preserve">6 months Ended Dec 31,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4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406" w:type="dxa"/>
            <w:tcBorders/>
            <w:shd w:fill="CCEEFF" w:val="clear"/>
            <w:tcMar>
              <w:bottom w:w="0" w:type="dxa"/>
            </w:tcMar>
            <w:vAlign w:val="center"/>
          </w:tcPr>
          <w:p>
            <w:pPr>
              <w:pStyle w:val="TableContents"/>
              <w:bidi w:val="0"/>
              <w:spacing w:before="0" w:after="0"/>
              <w:jc w:val="left"/>
              <w:rPr>
                <w:spacing w:val="4"/>
              </w:rPr>
            </w:pPr>
            <w:r>
              <w:rPr>
                <w:spacing w:val="4"/>
              </w:rPr>
              <w:t xml:space="preserve">Exploration and evaluation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37,007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6,572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90" w:type="dxa"/>
            <w:tcBorders/>
            <w:shd w:fill="CCEEFF" w:val="clear"/>
            <w:tcMar>
              <w:bottom w:w="0" w:type="dxa"/>
            </w:tcMar>
            <w:vAlign w:val="center"/>
          </w:tcPr>
          <w:p>
            <w:pPr>
              <w:pStyle w:val="TableContents"/>
              <w:bidi w:val="0"/>
              <w:spacing w:before="0" w:after="283"/>
              <w:jc w:val="right"/>
              <w:rPr/>
            </w:pPr>
            <w:r>
              <w:rPr/>
              <w:t>86,575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48,365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406" w:type="dxa"/>
            <w:tcBorders/>
            <w:tcMar>
              <w:bottom w:w="0" w:type="dxa"/>
            </w:tcMar>
            <w:vAlign w:val="center"/>
          </w:tcPr>
          <w:p>
            <w:pPr>
              <w:pStyle w:val="TableContents"/>
              <w:bidi w:val="0"/>
              <w:spacing w:before="0" w:after="0"/>
              <w:jc w:val="left"/>
              <w:rPr>
                <w:spacing w:val="4"/>
              </w:rPr>
            </w:pPr>
            <w:r>
              <w:rPr>
                <w:spacing w:val="4"/>
              </w:rPr>
              <w:t xml:space="preserve">General and administration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0" w:type="dxa"/>
            <w:tcBorders/>
            <w:tcMar>
              <w:bottom w:w="0" w:type="dxa"/>
            </w:tcMar>
            <w:vAlign w:val="center"/>
          </w:tcPr>
          <w:p>
            <w:pPr>
              <w:pStyle w:val="TableContents"/>
              <w:bidi w:val="0"/>
              <w:spacing w:before="0" w:after="283"/>
              <w:jc w:val="right"/>
              <w:rPr/>
            </w:pPr>
            <w:r>
              <w:rPr/>
              <w:t>8,211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0" w:type="dxa"/>
            <w:tcBorders/>
            <w:tcMar>
              <w:bottom w:w="0" w:type="dxa"/>
            </w:tcMar>
            <w:vAlign w:val="center"/>
          </w:tcPr>
          <w:p>
            <w:pPr>
              <w:pStyle w:val="TableContents"/>
              <w:bidi w:val="0"/>
              <w:spacing w:before="0" w:after="283"/>
              <w:jc w:val="right"/>
              <w:rPr/>
            </w:pPr>
            <w:r>
              <w:rPr/>
              <w:t>8,971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90" w:type="dxa"/>
            <w:tcBorders/>
            <w:tcMar>
              <w:bottom w:w="0" w:type="dxa"/>
            </w:tcMar>
            <w:vAlign w:val="center"/>
          </w:tcPr>
          <w:p>
            <w:pPr>
              <w:pStyle w:val="TableContents"/>
              <w:bidi w:val="0"/>
              <w:spacing w:before="0" w:after="283"/>
              <w:jc w:val="right"/>
              <w:rPr/>
            </w:pPr>
            <w:r>
              <w:rPr/>
              <w:t>16,348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0" w:type="dxa"/>
            <w:tcBorders/>
            <w:tcMar>
              <w:bottom w:w="0" w:type="dxa"/>
            </w:tcMar>
            <w:vAlign w:val="center"/>
          </w:tcPr>
          <w:p>
            <w:pPr>
              <w:pStyle w:val="TableContents"/>
              <w:bidi w:val="0"/>
              <w:spacing w:before="0" w:after="283"/>
              <w:jc w:val="right"/>
              <w:rPr/>
            </w:pPr>
            <w:r>
              <w:rPr/>
              <w:t>17,640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406"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(27,775)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90" w:type="dxa"/>
            <w:tcBorders/>
            <w:shd w:fill="CCEEFF" w:val="clear"/>
            <w:tcMar>
              <w:bottom w:w="0" w:type="dxa"/>
            </w:tcMar>
            <w:vAlign w:val="center"/>
          </w:tcPr>
          <w:p>
            <w:pPr>
              <w:pStyle w:val="TableContents"/>
              <w:bidi w:val="0"/>
              <w:spacing w:before="0" w:after="283"/>
              <w:jc w:val="right"/>
              <w:rPr/>
            </w:pPr>
            <w:r>
              <w:rPr/>
              <w:t>(117,869)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40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Net income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0" w:type="dxa"/>
            <w:tcBorders>
              <w:bottom w:val="single" w:sz="2" w:space="0" w:color="000000"/>
            </w:tcBorders>
            <w:tcMar>
              <w:bottom w:w="50" w:type="dxa"/>
            </w:tcMar>
            <w:vAlign w:val="center"/>
          </w:tcPr>
          <w:p>
            <w:pPr>
              <w:pStyle w:val="TableContents"/>
              <w:bidi w:val="0"/>
              <w:spacing w:before="0" w:after="283"/>
              <w:jc w:val="right"/>
              <w:rPr/>
            </w:pPr>
            <w:r>
              <w:rPr/>
              <w:t>(17,443)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0" w:type="dxa"/>
            <w:tcBorders>
              <w:bottom w:val="single" w:sz="2" w:space="0" w:color="000000"/>
            </w:tcBorders>
            <w:tcMar>
              <w:bottom w:w="50" w:type="dxa"/>
            </w:tcMar>
            <w:vAlign w:val="center"/>
          </w:tcPr>
          <w:p>
            <w:pPr>
              <w:pStyle w:val="TableContents"/>
              <w:bidi w:val="0"/>
              <w:spacing w:before="0" w:after="283"/>
              <w:jc w:val="right"/>
              <w:rPr/>
            </w:pPr>
            <w:r>
              <w:rPr/>
              <w:t>(15,543)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90" w:type="dxa"/>
            <w:tcBorders>
              <w:bottom w:val="single" w:sz="2" w:space="0" w:color="000000"/>
            </w:tcBorders>
            <w:tcMar>
              <w:bottom w:w="50" w:type="dxa"/>
            </w:tcMar>
            <w:vAlign w:val="center"/>
          </w:tcPr>
          <w:p>
            <w:pPr>
              <w:pStyle w:val="TableContents"/>
              <w:bidi w:val="0"/>
              <w:spacing w:before="0" w:after="283"/>
              <w:jc w:val="right"/>
              <w:rPr/>
            </w:pPr>
            <w:r>
              <w:rPr/>
              <w:t>14,946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0" w:type="dxa"/>
            <w:tcBorders>
              <w:bottom w:val="single" w:sz="2" w:space="0" w:color="000000"/>
            </w:tcBorders>
            <w:tcMar>
              <w:bottom w:w="50" w:type="dxa"/>
            </w:tcMar>
            <w:vAlign w:val="center"/>
          </w:tcPr>
          <w:p>
            <w:pPr>
              <w:pStyle w:val="TableContents"/>
              <w:bidi w:val="0"/>
              <w:spacing w:before="0" w:after="283"/>
              <w:jc w:val="right"/>
              <w:rPr/>
            </w:pPr>
            <w:r>
              <w:rPr/>
              <w:t>(66,005)</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bl>
    <w:tbl>
      <w:tblPr>
        <w:tblW w:w="5936" w:type="dxa"/>
        <w:jc w:val="left"/>
        <w:tblInd w:w="1393" w:type="dxa"/>
        <w:tblLayout w:type="fixed"/>
        <w:tblCellMar>
          <w:top w:w="0" w:type="dxa"/>
          <w:left w:w="0" w:type="dxa"/>
          <w:bottom w:w="43" w:type="dxa"/>
          <w:right w:w="0" w:type="dxa"/>
        </w:tblCellMar>
      </w:tblPr>
      <w:tblGrid>
        <w:gridCol w:w="1868"/>
        <w:gridCol w:w="109"/>
        <w:gridCol w:w="109"/>
        <w:gridCol w:w="164"/>
        <w:gridCol w:w="339"/>
        <w:gridCol w:w="1334"/>
        <w:gridCol w:w="166"/>
        <w:gridCol w:w="109"/>
        <w:gridCol w:w="109"/>
        <w:gridCol w:w="121"/>
        <w:gridCol w:w="250"/>
        <w:gridCol w:w="983"/>
        <w:gridCol w:w="121"/>
        <w:gridCol w:w="154"/>
      </w:tblGrid>
      <w:tr>
        <w:trPr/>
        <w:tc>
          <w:tcPr>
            <w:tcW w:w="1868" w:type="dxa"/>
            <w:tcBorders>
              <w:bottom w:val="single" w:sz="2" w:space="0" w:color="000000"/>
            </w:tcBorders>
            <w:vAlign w:val="center"/>
          </w:tcPr>
          <w:p>
            <w:pPr>
              <w:pStyle w:val="TableContents"/>
              <w:bidi w:val="0"/>
              <w:spacing w:before="0" w:after="0"/>
              <w:jc w:val="left"/>
              <w:rPr>
                <w:spacing w:val="-3"/>
              </w:rPr>
            </w:pPr>
            <w:r>
              <w:rPr>
                <w:spacing w:val="-3"/>
              </w:rPr>
              <w:t xml:space="preserve">As at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03" w:type="dxa"/>
            <w:gridSpan w:val="4"/>
            <w:tcBorders>
              <w:bottom w:val="single" w:sz="2" w:space="0" w:color="000000"/>
            </w:tcBorders>
            <w:vAlign w:val="center"/>
          </w:tcPr>
          <w:p>
            <w:pPr>
              <w:pStyle w:val="TableContents"/>
              <w:bidi w:val="0"/>
              <w:spacing w:before="0" w:after="0"/>
              <w:jc w:val="center"/>
              <w:rPr/>
            </w:pPr>
            <w:r>
              <w:rPr>
                <w:spacing w:val="-3"/>
              </w:rPr>
              <w:t>December 31, 2025</w:t>
            </w:r>
            <w:r>
              <w:rPr/>
              <w:t xml:space="preserve"> </w:t>
              <w:br/>
            </w:r>
            <w:r>
              <w:rPr>
                <w:spacing w:val="-3"/>
              </w:rPr>
              <w:t xml:space="preserve">(Unaudited)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June 30, 2025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68" w:type="dxa"/>
            <w:tcBorders/>
            <w:shd w:fill="CCEEFF" w:val="clear"/>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339" w:type="dxa"/>
            <w:tcBorders/>
            <w:shd w:fill="CCEEFF" w:val="clear"/>
            <w:tcMar>
              <w:bottom w:w="0" w:type="dxa"/>
            </w:tcMar>
            <w:vAlign w:val="center"/>
          </w:tcPr>
          <w:p>
            <w:pPr>
              <w:pStyle w:val="TableContents"/>
              <w:bidi w:val="0"/>
              <w:spacing w:before="0" w:after="283"/>
              <w:jc w:val="right"/>
              <w:rPr/>
            </w:pPr>
            <w:r>
              <w:rPr/>
              <w:t>$</w:t>
            </w:r>
          </w:p>
        </w:tc>
        <w:tc>
          <w:tcPr>
            <w:tcW w:w="1334" w:type="dxa"/>
            <w:tcBorders/>
            <w:shd w:fill="CCEEFF" w:val="clear"/>
            <w:tcMar>
              <w:bottom w:w="0" w:type="dxa"/>
            </w:tcMar>
            <w:vAlign w:val="center"/>
          </w:tcPr>
          <w:p>
            <w:pPr>
              <w:pStyle w:val="TableContents"/>
              <w:bidi w:val="0"/>
              <w:spacing w:before="0" w:after="283"/>
              <w:jc w:val="right"/>
              <w:rPr/>
            </w:pPr>
            <w:r>
              <w:rPr/>
              <w:t>1,733</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983" w:type="dxa"/>
            <w:tcBorders/>
            <w:shd w:fill="CCEEFF" w:val="clear"/>
            <w:tcMar>
              <w:bottom w:w="0" w:type="dxa"/>
            </w:tcMar>
            <w:vAlign w:val="center"/>
          </w:tcPr>
          <w:p>
            <w:pPr>
              <w:pStyle w:val="TableContents"/>
              <w:bidi w:val="0"/>
              <w:spacing w:before="0" w:after="283"/>
              <w:jc w:val="right"/>
              <w:rPr/>
            </w:pPr>
            <w:r>
              <w:rPr/>
              <w:t>16,731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68" w:type="dxa"/>
            <w:tcBorders/>
            <w:tcMar>
              <w:bottom w:w="0" w:type="dxa"/>
            </w:tcMar>
            <w:vAlign w:val="center"/>
          </w:tcPr>
          <w:p>
            <w:pPr>
              <w:pStyle w:val="TableContents"/>
              <w:bidi w:val="0"/>
              <w:spacing w:before="0" w:after="0"/>
              <w:jc w:val="left"/>
              <w:rPr>
                <w:spacing w:val="4"/>
              </w:rPr>
            </w:pPr>
            <w:r>
              <w:rPr>
                <w:spacing w:val="4"/>
              </w:rPr>
              <w:t xml:space="preserve">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339" w:type="dxa"/>
            <w:tcBorders/>
            <w:tcMar>
              <w:bottom w:w="0" w:type="dxa"/>
            </w:tcMar>
            <w:vAlign w:val="center"/>
          </w:tcPr>
          <w:p>
            <w:pPr>
              <w:pStyle w:val="TableContents"/>
              <w:bidi w:val="0"/>
              <w:spacing w:before="0" w:after="283"/>
              <w:jc w:val="right"/>
              <w:rPr/>
            </w:pPr>
            <w:r>
              <w:rPr/>
              <w:t>​</w:t>
            </w:r>
          </w:p>
        </w:tc>
        <w:tc>
          <w:tcPr>
            <w:tcW w:w="1334" w:type="dxa"/>
            <w:tcBorders/>
            <w:tcMar>
              <w:bottom w:w="0" w:type="dxa"/>
            </w:tcMar>
            <w:vAlign w:val="center"/>
          </w:tcPr>
          <w:p>
            <w:pPr>
              <w:pStyle w:val="TableContents"/>
              <w:bidi w:val="0"/>
              <w:spacing w:before="0" w:after="283"/>
              <w:jc w:val="right"/>
              <w:rPr/>
            </w:pPr>
            <w:r>
              <w:rPr/>
              <w:t>58,191</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983" w:type="dxa"/>
            <w:tcBorders/>
            <w:tcMar>
              <w:bottom w:w="0" w:type="dxa"/>
            </w:tcMar>
            <w:vAlign w:val="center"/>
          </w:tcPr>
          <w:p>
            <w:pPr>
              <w:pStyle w:val="TableContents"/>
              <w:bidi w:val="0"/>
              <w:spacing w:before="0" w:after="283"/>
              <w:jc w:val="right"/>
              <w:rPr/>
            </w:pPr>
            <w:r>
              <w:rPr/>
              <w:t>39,092</w:t>
            </w:r>
          </w:p>
        </w:tc>
        <w:tc>
          <w:tcPr>
            <w:tcW w:w="12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68"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339" w:type="dxa"/>
            <w:tcBorders/>
            <w:shd w:fill="CCEEFF" w:val="clear"/>
            <w:tcMar>
              <w:bottom w:w="0" w:type="dxa"/>
            </w:tcMar>
            <w:vAlign w:val="center"/>
          </w:tcPr>
          <w:p>
            <w:pPr>
              <w:pStyle w:val="TableContents"/>
              <w:bidi w:val="0"/>
              <w:spacing w:before="0" w:after="283"/>
              <w:jc w:val="right"/>
              <w:rPr/>
            </w:pPr>
            <w:r>
              <w:rPr/>
              <w:t>​</w:t>
            </w:r>
          </w:p>
        </w:tc>
        <w:tc>
          <w:tcPr>
            <w:tcW w:w="1334" w:type="dxa"/>
            <w:tcBorders/>
            <w:shd w:fill="CCEEFF" w:val="clear"/>
            <w:tcMar>
              <w:bottom w:w="0" w:type="dxa"/>
            </w:tcMar>
            <w:vAlign w:val="center"/>
          </w:tcPr>
          <w:p>
            <w:pPr>
              <w:pStyle w:val="TableContents"/>
              <w:bidi w:val="0"/>
              <w:spacing w:before="0" w:after="283"/>
              <w:jc w:val="right"/>
              <w:rPr/>
            </w:pPr>
            <w:r>
              <w:rPr/>
              <w:t>443,089</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983" w:type="dxa"/>
            <w:tcBorders/>
            <w:shd w:fill="CCEEFF" w:val="clear"/>
            <w:tcMar>
              <w:bottom w:w="0" w:type="dxa"/>
            </w:tcMar>
            <w:vAlign w:val="center"/>
          </w:tcPr>
          <w:p>
            <w:pPr>
              <w:pStyle w:val="TableContents"/>
              <w:bidi w:val="0"/>
              <w:spacing w:before="0" w:after="283"/>
              <w:jc w:val="right"/>
              <w:rPr/>
            </w:pPr>
            <w:r>
              <w:rPr/>
              <w:t>430,549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68" w:type="dxa"/>
            <w:tcBorders/>
            <w:tcMar>
              <w:bottom w:w="0" w:type="dxa"/>
            </w:tcMar>
            <w:vAlign w:val="center"/>
          </w:tcPr>
          <w:p>
            <w:pPr>
              <w:pStyle w:val="TableContents"/>
              <w:bidi w:val="0"/>
              <w:spacing w:before="0" w:after="0"/>
              <w:jc w:val="left"/>
              <w:rPr>
                <w:spacing w:val="4"/>
              </w:rPr>
            </w:pPr>
            <w:r>
              <w:rPr>
                <w:spacing w:val="4"/>
              </w:rPr>
              <w:t xml:space="preserve">Total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339" w:type="dxa"/>
            <w:tcBorders/>
            <w:tcMar>
              <w:bottom w:w="0" w:type="dxa"/>
            </w:tcMar>
            <w:vAlign w:val="center"/>
          </w:tcPr>
          <w:p>
            <w:pPr>
              <w:pStyle w:val="TableContents"/>
              <w:bidi w:val="0"/>
              <w:spacing w:before="0" w:after="283"/>
              <w:jc w:val="right"/>
              <w:rPr/>
            </w:pPr>
            <w:r>
              <w:rPr/>
              <w:t>​</w:t>
            </w:r>
          </w:p>
        </w:tc>
        <w:tc>
          <w:tcPr>
            <w:tcW w:w="1334" w:type="dxa"/>
            <w:tcBorders/>
            <w:tcMar>
              <w:bottom w:w="0" w:type="dxa"/>
            </w:tcMar>
            <w:vAlign w:val="center"/>
          </w:tcPr>
          <w:p>
            <w:pPr>
              <w:pStyle w:val="TableContents"/>
              <w:bidi w:val="0"/>
              <w:spacing w:before="0" w:after="283"/>
              <w:jc w:val="right"/>
              <w:rPr/>
            </w:pPr>
            <w:r>
              <w:rPr/>
              <w:t>1,568</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983" w:type="dxa"/>
            <w:tcBorders/>
            <w:tcMar>
              <w:bottom w:w="0" w:type="dxa"/>
            </w:tcMar>
            <w:vAlign w:val="center"/>
          </w:tcPr>
          <w:p>
            <w:pPr>
              <w:pStyle w:val="TableContents"/>
              <w:bidi w:val="0"/>
              <w:spacing w:before="0" w:after="283"/>
              <w:jc w:val="right"/>
              <w:rPr/>
            </w:pPr>
            <w:r>
              <w:rPr/>
              <w:t>7,115</w:t>
            </w:r>
          </w:p>
        </w:tc>
        <w:tc>
          <w:tcPr>
            <w:tcW w:w="12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6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Member’s capital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3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4" w:type="dxa"/>
            <w:tcBorders>
              <w:bottom w:val="single" w:sz="2" w:space="0" w:color="000000"/>
            </w:tcBorders>
            <w:shd w:fill="CCEEFF" w:val="clear"/>
            <w:tcMar>
              <w:bottom w:w="50" w:type="dxa"/>
            </w:tcMar>
            <w:vAlign w:val="center"/>
          </w:tcPr>
          <w:p>
            <w:pPr>
              <w:pStyle w:val="TableContents"/>
              <w:bidi w:val="0"/>
              <w:spacing w:before="0" w:after="283"/>
              <w:jc w:val="right"/>
              <w:rPr/>
            </w:pPr>
            <w:r>
              <w:rPr/>
              <w:t>441,521</w:t>
            </w:r>
          </w:p>
        </w:tc>
        <w:tc>
          <w:tcPr>
            <w:tcW w:w="16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3" w:type="dxa"/>
            <w:tcBorders>
              <w:bottom w:val="single" w:sz="2" w:space="0" w:color="000000"/>
            </w:tcBorders>
            <w:shd w:fill="CCEEFF" w:val="clear"/>
            <w:tcMar>
              <w:bottom w:w="50" w:type="dxa"/>
            </w:tcMar>
            <w:vAlign w:val="center"/>
          </w:tcPr>
          <w:p>
            <w:pPr>
              <w:pStyle w:val="TableContents"/>
              <w:bidi w:val="0"/>
              <w:spacing w:before="0" w:after="283"/>
              <w:jc w:val="right"/>
              <w:rPr/>
            </w:pPr>
            <w:r>
              <w:rPr/>
              <w:t>423,434</w:t>
            </w:r>
          </w:p>
        </w:tc>
        <w:tc>
          <w:tcPr>
            <w:tcW w:w="12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Results of Operations for the three months ended December 31, 2025 (Unaudited)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loss for the three months ended December 31, 2025, was $17,443, an increase of $1,900 compared to the net loss of $15,543 for the three months ended December 31, 2024. The change in net loss was driven by an increase in exploration and evaluation expenses of $30,435, partially offset by the reimbursement of $27,775 from Eagle, which was recognized in other income for the three months ended December 31, 2025, compared to no such reimbursement in the same period of the prior year.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Exploration and evaluation expenses for the three months ended December 31, 2025, were $37,007, an increase of $30,435 compared to the three months ended December 31, 2024, which were $6,572. The change is primarily due to an increase in consulting fees in exploration and evaluation activities compared to the same period in the prior year.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administrative expenses for the three months ended December 31, 2025, were $8,211, a decrease of $760 compared to the three months ended December 31, 2024, which were $8,971. The change is primarily due to a decrease in insurance expenses, which was partially offset by an increase in professional fees in general and administrative expenses activities compared to the same period in the prior year.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member, who is considered a related party under ASC 850, “Related Party Disclosures,” has provided financial support by funding operational expenses and making cash contributions. These contributions were made without any interest, or repayment terms and have been classified as member’s capital.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December 31, 2025, the Company incurred consulting fees of $4,293, recorded as exploration and evaluation expenditures, to Mitchell River Group, a company affiliated with a director of the Company’s member. These fees relate to salary recharges for administrative support services rendered to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Results of Operations for the six months ended December 31, 2025 (Unaudited)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income for the six months ended December 31, 2025, was $14,946, an increase of $80,951 compared to the net loss from the six months ended December 31, 2024, which was $66,005. The change in net loss is driven by the reimbursement of $117,869 made by Eagle recognized in other income for the six months ended December 31, 2025 compared to no such reimbursement in the same period of the prior year.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Exploration and evaluation expenses for the six months ended December 31, 2025, were $86,575, an increase of $38,210 compared to the six months ended December 31, 2024, which were $48,365. The change is primarily due to increases in consulting and occupancy expenses, which was partially offset by a decrease in salaries and wages in exploration and evaluation activities compared to the same period in the prior year.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administrative expenses for the six months ended December 31, 2025, were $16,348, a decrease of $1,292 compared to the six months ended December 31, 2024, which were $17,640. The change is primarily due to a decrease in insurance expenses, which was partially offset by an increase in office expenses in general and administrative expenses activities compared to the same period in the prior year.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member, who is considered a related party under ASC 850, “Related Party Disclosures,” has provided financial support by funding operational expenses and making cash contributions. These contributions were made without any interest, or repayment terms and have been classified as member’s capital.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six months ended December 31, 2025, the Company incurred consulting fees of $10,707, recorded as exploration and evaluation expenditures, to Mitchell River Group, a company affiliated with a director of the Company’s member. These fees relate to salary recharges for administrative support services rendered to the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six months ended December 31, 2025 and 2024, capital contributions by Aurora, being sole member of the Company, were made amounting to $3,141 and $110,768, respectively. As of December 31, 2025 and December 31, 2024, the total member’s capital contributions amount to $13,876,079 and $13,833,842, respectively.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Liquidity and Capital Resources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continually monitor and manage cash flow to assess the liquidity necessary to fund operations and capital projects. We manage our capital resources and adjust them to consider changes in economic conditions and the risk characteristics of the underlying assets. To maintain or adjust our capital resources, we may, where necessary, control the amount of working capital, pursue financing or manage the timing of our capital expenditures. As of December 31, 2025, we had a working capital of $56,623 (current assets of $58,191, 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liabilities of $1,568) and as of June 30, 2025, we had a working capital of $31,977 (current assets of $39,092, less current liabilities of $7,115).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continuing operations are dependent upon our ability to obtain debt or equity financing until such time that we achieve profitable operations. There can be no assurance that we will gain adequate market acceptance for our products or be able to generate sufficient gross margins to reach profitability.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our inception, we have incurred operating losses and have experienced negative cash flows from operations. We do not anticipate that cash on hand will be adequate to satisfy our obligations in the ordinary course of business over the next 12 months. Based on this assessment, we have material uncertainties about our business that may cast substantial doubt about our ability to continue as a going concern. Accordingly, our ability to continue as a going concern is dependent upon our ability to raise sufficient funds to pay ongoing operating expenditures and to meet our obligations. See further discussion related to our ability to continue as a going concern within Note 2 in the unaudited condensed financial statements for the three and six months ended December 31, 2025 and 2024.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and June 30, 2025, the Company had $1,733 and $16,731 in cash, respectively. The Company is actively managing current cash flows until such time that it is profitable.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 below highlights cash flows for the periods indicated (unaudited): </w:t>
      </w:r>
    </w:p>
    <w:tbl>
      <w:tblPr>
        <w:tblW w:w="6661" w:type="dxa"/>
        <w:jc w:val="left"/>
        <w:tblInd w:w="1393" w:type="dxa"/>
        <w:tblLayout w:type="fixed"/>
        <w:tblCellMar>
          <w:top w:w="0" w:type="dxa"/>
          <w:left w:w="0" w:type="dxa"/>
          <w:bottom w:w="28" w:type="dxa"/>
          <w:right w:w="0" w:type="dxa"/>
        </w:tblCellMar>
      </w:tblPr>
      <w:tblGrid>
        <w:gridCol w:w="3231"/>
        <w:gridCol w:w="109"/>
        <w:gridCol w:w="109"/>
        <w:gridCol w:w="109"/>
        <w:gridCol w:w="226"/>
        <w:gridCol w:w="916"/>
        <w:gridCol w:w="109"/>
        <w:gridCol w:w="109"/>
        <w:gridCol w:w="109"/>
        <w:gridCol w:w="109"/>
        <w:gridCol w:w="226"/>
        <w:gridCol w:w="1036"/>
        <w:gridCol w:w="109"/>
        <w:gridCol w:w="154"/>
      </w:tblGrid>
      <w:tr>
        <w:trPr/>
        <w:tc>
          <w:tcPr>
            <w:tcW w:w="32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5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For the six months ended </w:t>
            </w:r>
            <w:r>
              <w:rPr/>
              <w:br/>
            </w: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31" w:type="dxa"/>
            <w:tcBorders/>
            <w:shd w:fill="CCEEFF" w:val="clear"/>
            <w:tcMar>
              <w:bottom w:w="0" w:type="dxa"/>
            </w:tcMar>
            <w:vAlign w:val="center"/>
          </w:tcPr>
          <w:p>
            <w:pPr>
              <w:pStyle w:val="TableContents"/>
              <w:bidi w:val="0"/>
              <w:spacing w:before="0" w:after="283"/>
              <w:jc w:val="left"/>
              <w:rPr>
                <w:spacing w:val="4"/>
              </w:rPr>
            </w:pPr>
            <w:r>
              <w:rPr>
                <w:spacing w:val="4"/>
              </w:rPr>
              <w:t xml:space="preserve">Net cash provided by (used 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1" w:type="dxa"/>
            <w:tcBorders/>
            <w:tcMar>
              <w:bottom w:w="0" w:type="dxa"/>
            </w:tcMar>
            <w:vAlign w:val="center"/>
          </w:tcPr>
          <w:p>
            <w:pPr>
              <w:pStyle w:val="TableContents"/>
              <w:bidi w:val="0"/>
              <w:spacing w:before="0" w:after="0"/>
              <w:jc w:val="left"/>
              <w:rPr>
                <w:spacing w:val="4"/>
              </w:rPr>
            </w:pPr>
            <w:r>
              <w:rPr>
                <w:spacing w:val="4"/>
              </w:rPr>
              <w:t xml:space="preserve">Operating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(18,139)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(172,044)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1" w:type="dxa"/>
            <w:tcBorders/>
            <w:shd w:fill="CCEEFF" w:val="clear"/>
            <w:tcMar>
              <w:bottom w:w="0" w:type="dxa"/>
            </w:tcMar>
            <w:vAlign w:val="center"/>
          </w:tcPr>
          <w:p>
            <w:pPr>
              <w:pStyle w:val="TableContents"/>
              <w:bidi w:val="0"/>
              <w:spacing w:before="0" w:after="0"/>
              <w:jc w:val="left"/>
              <w:rPr>
                <w:spacing w:val="4"/>
              </w:rPr>
            </w:pPr>
            <w:r>
              <w:rPr>
                <w:spacing w:val="4"/>
              </w:rPr>
              <w:t xml:space="preserve">Financing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3,141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110,768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Change in cash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(14,998)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tcMar>
              <w:bottom w:w="50" w:type="dxa"/>
            </w:tcMar>
            <w:vAlign w:val="center"/>
          </w:tcPr>
          <w:p>
            <w:pPr>
              <w:pStyle w:val="TableContents"/>
              <w:bidi w:val="0"/>
              <w:spacing w:before="0" w:after="283"/>
              <w:jc w:val="right"/>
              <w:rPr/>
            </w:pPr>
            <w:r>
              <w:rPr/>
              <w:t>(61,276)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312"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Used in Operating Activities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cash used in operating activities is primarily due to cash payments for operating expenses incurred in the day-to-day operations of the business, including exploration and evaluation activities. Net cash used in operating activities for the six months ended December 31, 2025, was $18,139 compared to $172,044 for the six months ended December 31, 2024. The net income for the six months ended December 31, 2025 of $14,946, was increased by $6,559 of non-cash depreciation and partially offset by $39,644 in changes in working capital items. This compares to a loss of $66,005 for the prior period, that was further decreased by $112,596 in changes in working capital items and offset by $6,557 in non-cash depreciation.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Used in Investing Activities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investing activities during the six months ended December 31, 2025, and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Provided by Financing Activities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Financing activities for the six months ended December 31, 2025 and 2024, amounting to $3,141 and $110,768, respectively, represent cash contributions from Aurora. These contributions were made without any interest or repayment terms and have been classified as member’s capital.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Quantitative and Qualitative Disclosures about Market Risk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have overall responsibility for the establishment and oversight of our risk management policies on an annual basis. Management identifies and evaluates our financial risks and is charged with the responsibility of establishing controls and procedures to ensure financial risks are mitigated in accordance with the approved policies.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instruments consist of cash, restricted cash, and accounts payable and accrued liabilities. The carrying value of the Company’s cash, restricted cash, and accounts payable and accrued liabilities approximate their fair value due to their short terms to maturity.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risk exposures and the impact on our financial instruments are summarized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Credit Risk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risk is the risk of an unexpected loss if a customer or third party to a financial instrument fails to meet its contractual obligations. Our credit risk is primarily attributable to our liquid financial assets including cash. Our financial asset is cash. Our maximum exposure to credit risk, as of period end, is the carrying value of our financial asset, being $1,733 and $16,731 as of December 31, 2025 and June 30, 2025, respectively. We hold cash with major financial institutions, therefore minimizing our credit risk.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Liquidity Risk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Liquidity risk is the risk that we will not be able to meet financial obligations as they fall due. We manage liquidity by maintaining adequate cash balances and by raising equity and debt financings. We have no assurance that such financings will be available on favorable terms in the future. In general, we attempt to avoid exposure to liquidity risk by obtaining corporate financing through contribution of capital by our sole member.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we had cash of $1,733 to settle current liabilities of $1,568 which fall due for payment within 12 months of the date of the unaudited condensed balance sheet.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Risk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risk is the risk that changes in market prices, such as foreign exchange rates, interest rates and equity prices will affect our income or value of holdings or financial instruments. As of December 31, 2025 and June 30, 2025, our exposure to market risk was insignificant as we did not hold material amounts of financial instruments in foreign currencies, nor did we hold any debt that was subject to variable interest rates.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Inflation Risk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believe that inflation had a significant impact on our results of operations for any period presented in our unaudited condensed financial statements. Nonetheless, if our costs were to become subject to significant inflationary pressures, we may not be able to fully offset such higher costs, and our inability or failure to do so could harm our business, financial condition and results of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is comprised of our member’s capital and any debt that we may issue. Our objectives when managing capital are to maintain financial strength and to protect our ability to meet ongoing liabilities, to continue as a going concern, to maintain creditworthiness and to maximize returns for our member over the long term. Protecting the ability to pay current and future liabilities includes maintaining capital above minimum regulatory levels, current financial strength rating requirements and internally determined capital guidelines and calculated risk management levels. We manage capital structure to maximize financial flexibility by adjusting in response to changes in economic conditions and the risk characteristics of the underlying assets and business opportunities. We do not presently utilize any quantitative measures to monitor our capital, but rather we rely on our management’s expertise to sustain the future development of the business. Management reviews its capital management approach on an ongoing basis and believes that this approach, given our size, is reasonable.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changes to our approach to capital management during the period. We are not subject to externally imposed capital requirements.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Critical Accounting Policies and Estimates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summary of our significant accounting policies is described in more detail in Note 3 of the notes to our audited financial statements for the year ended June 30, 2025. Our audited financial statements are prepared in accordance with US GAAP. The preparation of our audited financial statements and related disclosures requires us to make estimates and judgments that affect the reported amounts of assets, liabilities, costs and expenses, and the disclosure of contingent assets and liabilities in our audited financial statements. We base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Off-Balance Sheet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entered into any material off-balance sheet arrangements such as guarantee contracts, contingent interests in assets transferred to unconsolidated entities, derivative financial obligations, or with respect to any obligations under a variable interest equity arrangement.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Evaluation of Disclosure Controls and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 evaluation as of December 31, 2025, our management, including the Chief Executive Officer and Chief Financial Officer, has concluded that our disclosure controls and procedures (as defined in Rule 13a-15(e) under the Exchange Act) were not effective. There have been no changes during the six months ended December 31,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Weakness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material weakness is a deficiency, or a combination of deficiencies, in internal control over financial reporting, such that there is a reasonable possibility that a material misstatement of our annual financial statements will not be prevented or detected in a timely manner.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Subsequent Events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of the Company has evaluated all events and transactions occurring subsequent to December 31, 2025, through the date the accompanying unaudited condensed financial statements were issued for items that should be adjusted for or disclosed in the accompanying unaudited condensed financial statements and notes to the unaudited condensed financial statements noting no such events or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ONE"/>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NEW EAGLE’S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or the context otherwise requires, references in this section to “New Eagle,” “we,” “us,” “our,” and other similar terms refer to Eagle Energy prior to the Business Combination and to New Eagle and its subsidiaries after giving effect to the Business Combination.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is a next-generation nuclear energy company that will combine domestic uranium exploration and development with proprietary small modular reactor (SMR) technology. New Eagle is an early-stage company and has limited operating history, no current revenues and has been operating at a net loss since incorporation. New Eagle currently owns the largest mineable, measured and indicated uranium deposit in the United States, referred to as the Aurora Uranium Project, located in southeastern Oregon. The Aurora Uranium Project includes the Aurora deposit (“Aurora”), with an estimated resource of 32.75 million pounds (Indicated) and 4.98 million pounds (Inferred) of near surface uranium and the adjacent Cordex zone (“Cordex” or the “Cordex Zone”) which based on initial geological assessments, New Eagle believes offers the potential to significantly expand our overall resource inventory. New Eagle’s exclusive SMR technology, developed under an exclusive license agreement with the University of New Mexico, is based on liquid metal-cooled reactors. It includes the Very-Small, Long-Life, and Modular Reactor (“VSLLIM”), with electrical generation capacities of less than 10MWth, and the Scalable Liquid Metal-cooled Modular Reactor (“SLIMM”), with output capacities between 10MWth and 100MWth. New Eagle exercised its option to acquire the Aurora Uranium Project in connection with the Closing of the Business Combination.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Eagle’s mission is to supply uranium to the growing nuclear energy industry and play a leading role in the global transition to clean, reliable, and affordable energy. New Eagle is committed to meeting rising demand for resilient, cost-effective energy and supporting advanced computing and artificial intelligence by providing uranium for both traditional nuclear reactors and the SMRs we plan to develop. New Eagle may also enter into offtake agreements to sell excess uranium to energy producers, utilities, nuclear fuel fabricators, and advanced reactor developers seeking secure domestic supply. By combining a substantial uranium asset with advanced SMR technology, New Eagle seeks to create an integrated nuclear platform positioned to help restore American leadership in the global nuclear industry.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Eagle Energy was incorporated under the laws of the State of Delaware on December 14, 2023, as Eagle Battery Metals Corp. On January 31, 2024, Eagle Energy changed its name to Eagle Energy Metals Corp., and on October 18, 2024, Eagle Energy filed articles of conversion with the Nevada Secretary of State to convert into a Nevada corporation. New Eagle was incorporated as a Nevada corporation on September 19, 2025 for the purpose of completing the Business Combination. Following the Business Combination, Eagle Energy is a wholly owned, direct subsidiary of New Eagle.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Industry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 to the International Energy Agency’s (“IEA”) World Energy Outlook 2024 under the Stated Policies Scenario (STEPS), global energy demand is expected to continue to rise through 2035, with electricity demand increasing by nearly 1,000 Terawatt-hours (“TWh”) per year — equivalent to adding the electricity consumption of Japan annually. Historically, growth in energy demand has been met primarily by fossil fuels. Today, while STEPS anticipates ongoing contributions from fossil fuels, a series of technological, economic, regulatory, social and investor forces are leading the drive to decarbonize electricity and other sectors, such as transportation (electric vehicles) and buildings (electric heating). As such, STEPS projects that renewables and clean energy sources will play a dominant role going forward.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Technology Improvements.   </w:t>
      </w:r>
      <w:r>
        <w:rPr>
          <w:rFonts w:ascii="Times New Roman;Times;serif" w:hAnsi="Times New Roman;Times;serif"/>
          <w:b w:val="false"/>
          <w:i w:val="false"/>
          <w:caps w:val="false"/>
          <w:smallCaps w:val="false"/>
          <w:color w:val="000000"/>
          <w:spacing w:val="4"/>
          <w:sz w:val="20"/>
        </w:rPr>
        <w:t xml:space="preserve">Advancements in carbon-free generation technologies — such as next-generation solar, offshore wind, and energy storage — are driving increased adoption by improving reliability, reducing costs, and expanding scalability. According to the IEA, the cost of lithium-ion batteries declined by approximately 90%, from $1,400 per kWh in 2010 to under $140 per kWh in 2023, materially enhancing the economics of renewable integration. These developments improve grid stability, support decarbonization, and position clean energy as a primary source for meeting global electricity demand. We believe technological advancements in SMRs and other carbon-free generation sources may drive similar adoption trends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Economic.   </w:t>
      </w:r>
      <w:r>
        <w:rPr>
          <w:rFonts w:ascii="Times New Roman;Times;serif" w:hAnsi="Times New Roman;Times;serif"/>
          <w:b w:val="false"/>
          <w:i w:val="false"/>
          <w:caps w:val="false"/>
          <w:smallCaps w:val="false"/>
          <w:color w:val="000000"/>
          <w:spacing w:val="4"/>
          <w:sz w:val="20"/>
        </w:rPr>
        <w:t xml:space="preserve">Utilities are increasingly seeking economically viable clean energy solutions that can deliver reliable, around-the-clock power. While renewable sources such as wind and solar play an important role, their intermittency and substantial land use requirements present integration challenges. These factors are driving greater consideration of traditional nuclear power and SMRs, both of which provide carbon-free, high-capacity baseload generation with a compact footprint. We believe these characteristics position nuclear as a key component in meeting long-term decarbonization and energy security objectives for the utility sector.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Regulatory.   </w:t>
      </w:r>
      <w:r>
        <w:rPr>
          <w:rFonts w:ascii="Times New Roman;Times;serif" w:hAnsi="Times New Roman;Times;serif"/>
          <w:b w:val="false"/>
          <w:i w:val="false"/>
          <w:caps w:val="false"/>
          <w:smallCaps w:val="false"/>
          <w:color w:val="000000"/>
          <w:spacing w:val="4"/>
          <w:sz w:val="20"/>
        </w:rPr>
        <w:t xml:space="preserve">Recent domestic policy actions, including Executive Orders signed in May 2025, are accelerating demand for U.S. uranium supply and deployment of nuclear technologies, including SMRs. These measures streamline regulatory approvals, expand incentives for advanced reactor development, and invoke federal authorities to strengthen domestic uranium mining and fuel processing. As a result, nuclear — both traditional and SMR — is positioned to play a central role in delivering secure, carbon-free baseload power, supporting national energy security and decarbonization objectives.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Social and Investor Pressures.   </w:t>
      </w:r>
      <w:r>
        <w:rPr>
          <w:rFonts w:ascii="Times New Roman;Times;serif" w:hAnsi="Times New Roman;Times;serif"/>
          <w:b w:val="false"/>
          <w:i w:val="false"/>
          <w:caps w:val="false"/>
          <w:smallCaps w:val="false"/>
          <w:color w:val="000000"/>
          <w:spacing w:val="4"/>
          <w:sz w:val="20"/>
        </w:rPr>
        <w:t xml:space="preserve">The global social and environmental movement toward decarbonization is influencing policy, capital allocation, and corporate strategy. Increasing stakeholder focus on climate change, combined with ESG investment priorities, is accelerating the transition to low-carbon energy sources and technologies, creating long-term structural demand for sustainable, carbon-free power generation solutions such as nuclear and renewables.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Eagle’s Market Opportunity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 to the IEA’s World Energy Outlook 2024 under the STEPS scenario, global renewable power generation capacity is expected to grow from 4,250 GW today to nearly 10,000 GW by 2030 — a growth that more than covers rising electricity demand and accelerates the decline of coal-fired generation. Meeting this demand will require substantial investment: annual global energy investment is projected to reach $3.2 trillion by 2030, with approximately $2.1 trillion directed toward clean energy technologies and $1.1 trillion toward fossil fuel-related infrastructure.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Nuclear power, including both traditional reactors and SMRs, offers distinct advantages over other renewable energy sources in addressing intermittency and land use constraints. Nuclear facilities provide consistent, high-capacity baseload generation, operating at capacity factors exceeding 90% and remaining unaffected by weather or seasonal variability. Their compact physical footprint requires significantly less land per unit of electricity produced compared to wind or solar. Additionally, SMRs offer enhanced siting flexibility, modular scalability, and shorter construction timelines, enabling more efficient integration into existing grids. These attributes position nuclear as a critical complement to renewables in achieving long-term decarbonization and energy security goals.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Opportunity for Uranium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 to the U.S. Energy Information Administration’s Uranium Marketing Annual Report, U.S. civilian nuclear operators purchased 51.6 million pounds of U₃O₈ equivalent in 2023, a 27% increase from 2022, reflecting higher requirements driven by growing energy demand and confidence in nuclear as a carbon-free baseload source. The weighted-average price paid by utilities rose 12% year-over-year to $43.80 per pound, the highest level since 2015, underscoring upward pricing momentum amid tightening supply. As of July 2025, this momentum has persisted, with the long-term uranium price at $80 per pound U₃O₈.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Despite this demand growth, only 5% of uranium deliveries to U.S. reactors in 2023 originated from domestic production, highlighting continued reliance on imports from Canada, Kazakhstan, Australia, and other countries. Preliminary EIA production data for 2024 indicates output of approximately 680,000 pounds of U₃O₈, the highest since 2018 but still insufficient to materially reduce import dependence. These trends point to a widening structural gap between U.S. uranium requirements and available domestic supply, supporting the case for expanded U.S.-based production capacity. In addition to growing global energy demand, we believe this structural gap exists, and will persist for the foreseeable future, due to the following: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Replacement of Fossil Fuel Plants.   </w:t>
      </w:r>
      <w:r>
        <w:rPr>
          <w:rFonts w:ascii="Times New Roman;Times;serif" w:hAnsi="Times New Roman;Times;serif"/>
          <w:b w:val="false"/>
          <w:i w:val="false"/>
          <w:caps w:val="false"/>
          <w:smallCaps w:val="false"/>
          <w:color w:val="000000"/>
          <w:spacing w:val="4"/>
          <w:sz w:val="20"/>
        </w:rPr>
        <w:t xml:space="preserve">The replacement of fossil fuel plants with nuclear power is accelerating as utilities seek reliable, carbon-free generation to meet emissions reduction targets. Nuclear’s high-capacity factor and consistent output make it an ideal baseload replacement, enhancing grid stability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reducing greenhouse gas emissions and supporting long-term decarbonization objectives. According to the most recent update from the World Nuclear Association, approximately 70 reactors are currently under construction around the world, with about 100 additional reactors planned.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Historic Underinvestment.</w:t>
      </w:r>
      <w:r>
        <w:rPr>
          <w:rFonts w:ascii="Times New Roman;Times;serif" w:hAnsi="Times New Roman;Times;serif"/>
          <w:b w:val="false"/>
          <w:i w:val="false"/>
          <w:caps w:val="false"/>
          <w:smallCaps w:val="false"/>
          <w:color w:val="000000"/>
          <w:spacing w:val="4"/>
          <w:sz w:val="20"/>
        </w:rPr>
        <w:t xml:space="preserve">   Global and U.S. uranium mining operations have experienced prolonged underinvestment over the past decade, driven by sustained low prices following the Fukushima accident, reduced demand growth expectations, and reliance on secondary supplies. This underinvestment curtailed exploration, delayed new project development, and led to the closure or care-and-maintenance status of numerous mines. In the U.S., domestic production fell to historically low levels, with imports meeting the vast majority of reactor fuel requirements.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Geopolitical Turmoil.   </w:t>
      </w:r>
      <w:r>
        <w:rPr>
          <w:rFonts w:ascii="Times New Roman;Times;serif" w:hAnsi="Times New Roman;Times;serif"/>
          <w:b w:val="false"/>
          <w:i w:val="false"/>
          <w:caps w:val="false"/>
          <w:smallCaps w:val="false"/>
          <w:color w:val="000000"/>
          <w:spacing w:val="4"/>
          <w:sz w:val="20"/>
        </w:rPr>
        <w:t xml:space="preserve">Geopolitical instability in Russia and the enactment of the Prohibiting Russian Uranium Imports Act have significant implications for U.S. nuclear fuel supply. Russia has historically been a major supplier of enriched uranium to U.S. utilities, and the legislation, aimed at enhancing national security and reducing reliance on adversarial sources, effectively eliminates this supply channel. The ban is expected to tighten an already constrained global uranium market, placing greater pressure on limited domestic mining and enrichment capacity.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Long-Term Contracting by Utilities.   </w:t>
      </w:r>
      <w:r>
        <w:rPr>
          <w:rFonts w:ascii="Times New Roman;Times;serif" w:hAnsi="Times New Roman;Times;serif"/>
          <w:b w:val="false"/>
          <w:i w:val="false"/>
          <w:caps w:val="false"/>
          <w:smallCaps w:val="false"/>
          <w:color w:val="000000"/>
          <w:spacing w:val="4"/>
          <w:sz w:val="20"/>
        </w:rPr>
        <w:t xml:space="preserve">Utilities are increasingly engaging in long-term contracting for nuclear fuel to secure supply amid tightening global markets and geopolitical uncertainties. These agreements lock in pricing, reduce exposure to market volatility, and ensure reliable delivery.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a result, the World Nuclear Association in its Reference Scenario expects global uranium demand to nearly double by 2040 (approximately 65,650 tU in 2023 to 130,000 tU in 2040), with higher cases above that on stronger build-outs. The EIA reports U.S. utilities have contracts covering up to ~249 Mlb U</w:t>
      </w:r>
      <w:r>
        <w:rPr>
          <w:rFonts w:ascii="Times New Roman;Times;serif" w:hAnsi="Times New Roman;Times;serif"/>
          <w:b w:val="false"/>
          <w:i w:val="false"/>
          <w:caps w:val="false"/>
          <w:smallCaps w:val="false"/>
          <w:color w:val="000000"/>
          <w:spacing w:val="3"/>
          <w:sz w:val="15"/>
        </w:rPr>
        <w:t>3</w:t>
      </w:r>
      <w:r>
        <w:rPr>
          <w:rFonts w:ascii="Times New Roman;Times;serif" w:hAnsi="Times New Roman;Times;serif"/>
          <w:b w:val="false"/>
          <w:i w:val="false"/>
          <w:caps w:val="false"/>
          <w:smallCaps w:val="false"/>
          <w:color w:val="000000"/>
          <w:spacing w:val="4"/>
          <w:sz w:val="20"/>
        </w:rPr>
        <w:t>O</w:t>
      </w:r>
      <w:r>
        <w:rPr>
          <w:rFonts w:ascii="Times New Roman;Times;serif" w:hAnsi="Times New Roman;Times;serif"/>
          <w:b w:val="false"/>
          <w:i w:val="false"/>
          <w:caps w:val="false"/>
          <w:smallCaps w:val="false"/>
          <w:color w:val="000000"/>
          <w:spacing w:val="3"/>
          <w:sz w:val="15"/>
        </w:rPr>
        <w:t>8</w:t>
      </w:r>
      <w:r>
        <w:rPr>
          <w:rFonts w:ascii="Times New Roman;Times;serif" w:hAnsi="Times New Roman;Times;serif"/>
          <w:b w:val="false"/>
          <w:i w:val="false"/>
          <w:caps w:val="false"/>
          <w:smallCaps w:val="false"/>
          <w:color w:val="000000"/>
          <w:spacing w:val="4"/>
          <w:sz w:val="20"/>
        </w:rPr>
        <w:t xml:space="preserve">e through 2033, with ~184 Mlb unfilled, implying total anticipated needs of ~433 Mlb over the decade.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Opportunity for SMRs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SMRs are advanced nuclear systems designed to produce up to 300 MWe of electricity per unit and can be deployed individually or in clusters to match specific capacity requirements. Their smaller physical footprint, modular construction, and ability to be factory-fabricated allow for deployment at sites unsuitable for conventional nuclear plants, shortening construction timelines, reducing capital risk, and improving project economics.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SMRs offer inherent safety features, simplified systems, and operational flexibility, making them suitable for a variety of applications, including grid-scale electricity, industrial process heat, hydrogen production, and remote or off-grid energy needs. Their compact design and ability to provide continuous, dispatchable power address the intermittency and land-use constraints of wind and solar.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Recently, the private technology sector has emerged as an influential early adopter of SMR technologies. Announcements from Alphabet, Amazon, Microsoft and other hyperscale data center operators highlight the sector’s need for reliable, carbon-free baseload power to meet rapidly growing energy requirements driven by artificial intelligence, cloud computing, and digital infrastructure expansion. This early commercial interest from large, creditworthy corporate buyers is expected to accelerate SMR deployment timelines and broaden the market beyond traditional utility customers.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Aurora Uranium Project (The Aurora Deposit and Cordex Zone)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8, 2025, an S-K 1300 Technical Report Summary on the Aurora Uranium Project was completed by BBA USA Inc. (“BBA”), which is an independent technical consulting firm engaged by New Eagle. The full text of the S-K 1300 Technical Report Summary is attached as Exhibit 96.1 to the registration statement of which this prospectus forms a part.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1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Aurora Deposit</w:t>
      </w:r>
      <w:r>
        <w:rPr>
          <w:rFonts w:ascii="Times New Roman;Times;serif" w:hAnsi="Times New Roman;Times;serif"/>
          <w:b/>
          <w:i/>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124325" cy="2124075"/>
            <wp:effectExtent l="0" t="0" r="0" b="0"/>
            <wp:docPr id="1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 descr=""/>
                    <pic:cNvPicPr>
                      <a:picLocks noChangeAspect="1" noChangeArrowheads="1"/>
                    </pic:cNvPicPr>
                  </pic:nvPicPr>
                  <pic:blipFill>
                    <a:blip r:embed="rId3"/>
                    <a:stretch>
                      <a:fillRect/>
                    </a:stretch>
                  </pic:blipFill>
                  <pic:spPr bwMode="auto">
                    <a:xfrm>
                      <a:off x="0" y="0"/>
                      <a:ext cx="4124325" cy="212407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Aurora Deposit is the largest mineable, measured and indicated uranium deposit in the United States with an estimated resource of 32.75 million pounds (Indicated) and 4.98 million pounds (Inferred) of near surface uranium.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Aurora is situated in the state of Oregon, within Malheur County in the Quinn River Valley. The site is three miles from the Nevada border and approximately six miles west of McDermitt, Nevada. The project centroid is approximately Lat/Long -117.90, 42.03. The climate in this region is characteristic of the high Nevada desert, with summer temperatures typically in the low 20s (°C) and winter temperatures frequently falling below zero. Additionally, Aurora is situated on public lands managed by the United States Bureau of Land Management (“BLM”) office in Vale, Oregon. New Eagle acquired the Aurora Uranium Project pursuant to the terms of the Aurora Option Agreement. See “</w:t>
      </w:r>
      <w:r>
        <w:rPr>
          <w:rFonts w:ascii="Times New Roman;Times;serif" w:hAnsi="Times New Roman;Times;serif"/>
          <w:b w:val="false"/>
          <w:i/>
          <w:caps w:val="false"/>
          <w:smallCaps w:val="false"/>
          <w:color w:val="000000"/>
          <w:spacing w:val="4"/>
          <w:sz w:val="20"/>
        </w:rPr>
        <w:t>The Aurora Option Agreement</w:t>
      </w:r>
      <w:r>
        <w:rPr>
          <w:rFonts w:ascii="Times New Roman;Times;serif" w:hAnsi="Times New Roman;Times;serif"/>
          <w:b w:val="false"/>
          <w:i w:val="false"/>
          <w:caps w:val="false"/>
          <w:smallCaps w:val="false"/>
          <w:color w:val="000000"/>
          <w:spacing w:val="4"/>
          <w:sz w:val="20"/>
        </w:rPr>
        <w:t xml:space="preserve">” for additional details.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3362325" cy="5915025"/>
            <wp:effectExtent l="0" t="0" r="0" b="0"/>
            <wp:docPr id="1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 descr=""/>
                    <pic:cNvPicPr>
                      <a:picLocks noChangeAspect="1" noChangeArrowheads="1"/>
                    </pic:cNvPicPr>
                  </pic:nvPicPr>
                  <pic:blipFill>
                    <a:blip r:embed="rId4"/>
                    <a:stretch>
                      <a:fillRect/>
                    </a:stretch>
                  </pic:blipFill>
                  <pic:spPr bwMode="auto">
                    <a:xfrm>
                      <a:off x="0" y="0"/>
                      <a:ext cx="3362325" cy="59150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52"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Aurora deposit is covered by a thin layer of alluvium over lakebed sediments, which unconformably overlie interbedded dacite/rhyolite lava flows, tuffaceous units, pyroclastic breccia, and local fault breccia. Alteration is mainly clay, with opaline or chalcedonic silica, chlorite, gypsum, fluorite, and zeolites. Mineralization is associated with the porous and permeable volcanic rocks and includes pyrite-bearing clays with uranium minerals, leucoxene, marcasite, and arsenopyrite. Uranium minerals have been identified to include uraninite, coffinite, phosphorylite, umohoite and autunite (hydrous calcium uranium phosphate).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Exploration took place on the project on and off from 1974 to 2022 by various operators. New Eagle has not conducted any exploration on the project to date. A total of 617 diamond drill and reverse circulation holes totaling 219,153 meters have been on the Aurora claims. The resource estimate is based on the interpretation of geological observations from detailed historical drilling that was initially completed on a 60 meters by 30 meters grid spacing oriented perpendicular to the strike of the deposit. A total of 675 drillholes (including both diamond and rotary holes) were used to define the resource. The geological and mineralization model created in the mineral resource estimate consisted of key lithological contacts plus mineralization constraints that were applied as estimation domains. The key contacts wireframed during the modeling process were based on a combination of grade distribution and lithology.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the Aurora deposit offers a number of key attributes that make the deposit attractive for investment, including: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Shallow &amp; Near-surface.   </w:t>
      </w:r>
      <w:r>
        <w:rPr>
          <w:rFonts w:ascii="Times New Roman;Times;serif" w:hAnsi="Times New Roman;Times;serif"/>
          <w:b w:val="false"/>
          <w:i w:val="false"/>
          <w:caps w:val="false"/>
          <w:smallCaps w:val="false"/>
          <w:color w:val="000000"/>
          <w:spacing w:val="4"/>
          <w:sz w:val="20"/>
        </w:rPr>
        <w:t xml:space="preserve">The Aurora deposit’s uranium lies very close to the surface, under only a thin layer of cover. This near-surface location enables rapid, easy access to mineralized material without extensive pre-stripping. Early mining can focus directly on valuable higher-grade material instead of waste, which boosts project economics. The shallow depth also contributes to a very low strip ratio in open-pit mining, meaning far less waste rock must be moved per ton of ore. Overall, we believe the near-surface nature of the deposit significantly lowers mining complexity, cost, and development time.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6"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Low-cost Open Pit.</w:t>
      </w:r>
      <w:r>
        <w:rPr>
          <w:rFonts w:ascii="Times New Roman;Times;serif" w:hAnsi="Times New Roman;Times;serif"/>
          <w:b w:val="false"/>
          <w:i w:val="false"/>
          <w:caps w:val="false"/>
          <w:smallCaps w:val="false"/>
          <w:color w:val="000000"/>
          <w:spacing w:val="4"/>
          <w:sz w:val="20"/>
        </w:rPr>
        <w:t xml:space="preserve">   The Aurora deposit is ideally suited to conventional open-pit extraction, which is typically the most efficient approach when orebodies lie close to the surface. The project’s projected plan emphasizes simple, low-cost open-pit mining techniques. Much of the overlying material is unconsolidated “free-dig” lakebed sediment (requiring no drilling or blasting), and Aurora’s shallow, flat orientation yields a very low waste-to-ore strip ratio. Open-pit mining also avoids the high costs and complexities of underground development, so these advantages combine to keep Aurora’s projected mining costs at highly competitive levels.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7"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Extensive Drilling data.</w:t>
      </w:r>
      <w:r>
        <w:rPr>
          <w:rFonts w:ascii="Times New Roman;Times;serif" w:hAnsi="Times New Roman;Times;serif"/>
          <w:b w:val="false"/>
          <w:i w:val="false"/>
          <w:caps w:val="false"/>
          <w:smallCaps w:val="false"/>
          <w:color w:val="000000"/>
          <w:spacing w:val="4"/>
          <w:sz w:val="20"/>
        </w:rPr>
        <w:t xml:space="preserve">   The Aurora project benefits from an extensive drilling database accumulated over decades, underpinning a high-confidence resource model. Over 600 drill holes, totaling more than 90,000 meters (replacement value of approximately $45 million) have been completed, delineating the deposit’s shape, grade distribution, and continuity in detail. This substantial dataset provides exceptional geological understanding and validation of the resource, with tight drill spacing converting a large portion of the deposit into the “indicated” resource category. Few uranium projects in the U.S. boast a comparable level of drilling density, significantly de-risking Aurora’s resource estimate and future mine planning.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8"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Low Geological Risk.</w:t>
      </w:r>
      <w:r>
        <w:rPr>
          <w:rFonts w:ascii="Times New Roman;Times;serif" w:hAnsi="Times New Roman;Times;serif"/>
          <w:b w:val="false"/>
          <w:i w:val="false"/>
          <w:caps w:val="false"/>
          <w:smallCaps w:val="false"/>
          <w:color w:val="000000"/>
          <w:spacing w:val="4"/>
          <w:sz w:val="20"/>
        </w:rPr>
        <w:t xml:space="preserve">   The combination of intensive drilling and simple deposit geometry translates into low geological uncertainty for Aurora. As noted, most of the uranium resource has been delineated to a high confidence level (predominantly “indicated”). This means the grade and extent of the orebody are well understood, reducing the likelihood of surprises during mining. Geologically, the deposit consists of laterally continuous, strata-bound uranium zones in predictable host rocks. There are no known complex structures or abrupt changes that would impede extraction. In short, the project’s geology is straightforward, which minimizes the risk of unforeseen issues in development or production.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9"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Flat Tabular Deposit.</w:t>
      </w:r>
      <w:r>
        <w:rPr>
          <w:rFonts w:ascii="Times New Roman;Times;serif" w:hAnsi="Times New Roman;Times;serif"/>
          <w:b w:val="false"/>
          <w:i w:val="false"/>
          <w:caps w:val="false"/>
          <w:smallCaps w:val="false"/>
          <w:color w:val="000000"/>
          <w:spacing w:val="4"/>
          <w:sz w:val="20"/>
        </w:rPr>
        <w:t xml:space="preserve">   The Aurora deposit’s geometry is a distinct advantage: it is essentially flat-lying and laterally extensive, resembling a tabular blanket of mineralization. This shape is ideal for open-pit mining, as the mineralized material horizon can be mined in bulk with consistent, shallow benches rather than chasing narrow roll-front trends. Drilling has confirmed that uranium occurs in sub-horizontal layers with excellent continuity over large distances. This uniform, sheet-like orebody implifies mine planning and reduces geotechnical complexity compared to deposits with steep or irregular geometries. Aurora’s simple geometry ensures efficient extraction.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0"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additional opportunities for the project include (i) upgrading of some or all the inferred mineral resources to higher-confidence categories, with additional drilling and supporting studies, such that this higher confidence material could potentially be converted to mineral reserves, and (ii) additional leach test work to focus on optimizing leach conditions to maximize uranium recovery.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Aurora Mineral Resource Estimate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mineral resource estimate (the “MRE”) is based on the interpretation of geological observations from detailed historical drilling that was initially completed on a 60 m by 30 m grid spacing oriented perpendicular to the strike of the deposit. A total of 675 drillholes (including both diamond and rotary holes) were used to define the resource.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geological and mineralization model created in the MRE consisted of key lithological contacts plus mineralization constraints that were applied as estimation domains. The key contacts wireframed during the modeling process were based on a combination of grade distribution and lithology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exploratory data analysis was conducted on raw drillhole data to determine the nature of the element distribution, correlation of grades within individual lithologic units, and the identification of high-grade outlier samples. A combination of descriptive statistics, histograms, probability plots, and X-Y scatter plots were used to analyze.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resource estimation methodology constrains the mineralization by using hard wireframe boundaries. Ordinary kriging was employed with multiple search passes used for each domain. Search parameters were based on variography and continuity of mineralization. Validation checks were completed on the mineral resource estimates. These included visual comparison of estimated grade to composite grade, domain conformity, swath plots, and comparisons to alternate estimation methods.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Indicated and inferred classification was applied to the deposit based on BBA’s review that included the examination of drill spacing, visual comparison, kriging variance, distance to the nearest composite, and search pass, along with the search ellipsoid ranges. Collectively, this information was used to produce an initial classification script followed by manual wireframe application to further limit the mineral resource classification.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Mineral resources used commodity prices based on long-term analyst and bank forecasts. In the opinion of BBA, this price is generally aligned with pricing over the last one, three, and five years; forward-looking pricing from internationally recognized banks is appropriate for use in a mineral resource estimate. The following table summarizes the MRE: </w:t>
      </w:r>
    </w:p>
    <w:tbl>
      <w:tblPr>
        <w:tblW w:w="8812" w:type="dxa"/>
        <w:jc w:val="left"/>
        <w:tblInd w:w="1393" w:type="dxa"/>
        <w:tblLayout w:type="fixed"/>
        <w:tblCellMar>
          <w:top w:w="0" w:type="dxa"/>
          <w:left w:w="0" w:type="dxa"/>
          <w:bottom w:w="28" w:type="dxa"/>
          <w:right w:w="0" w:type="dxa"/>
        </w:tblCellMar>
      </w:tblPr>
      <w:tblGrid>
        <w:gridCol w:w="124"/>
        <w:gridCol w:w="1384"/>
        <w:gridCol w:w="109"/>
        <w:gridCol w:w="109"/>
        <w:gridCol w:w="109"/>
        <w:gridCol w:w="109"/>
        <w:gridCol w:w="781"/>
        <w:gridCol w:w="109"/>
        <w:gridCol w:w="109"/>
        <w:gridCol w:w="109"/>
        <w:gridCol w:w="182"/>
        <w:gridCol w:w="182"/>
        <w:gridCol w:w="780"/>
        <w:gridCol w:w="183"/>
        <w:gridCol w:w="109"/>
        <w:gridCol w:w="109"/>
        <w:gridCol w:w="109"/>
        <w:gridCol w:w="109"/>
        <w:gridCol w:w="652"/>
        <w:gridCol w:w="109"/>
        <w:gridCol w:w="109"/>
        <w:gridCol w:w="109"/>
        <w:gridCol w:w="154"/>
        <w:gridCol w:w="154"/>
        <w:gridCol w:w="662"/>
        <w:gridCol w:w="154"/>
        <w:gridCol w:w="109"/>
        <w:gridCol w:w="109"/>
        <w:gridCol w:w="169"/>
        <w:gridCol w:w="169"/>
        <w:gridCol w:w="1005"/>
        <w:gridCol w:w="171"/>
        <w:gridCol w:w="162"/>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38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Classification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Deposit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7"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Cut-Off Grade</w:t>
            </w:r>
            <w:r>
              <w:rPr/>
              <w:t xml:space="preserve"> </w:t>
              <w:br/>
            </w:r>
            <w:r>
              <w:rPr>
                <w:spacing w:val="-3"/>
              </w:rPr>
              <w:t>(ppm U</w:t>
            </w:r>
            <w:r>
              <w:rPr>
                <w:spacing w:val="-2"/>
                <w:sz w:val="12"/>
              </w:rPr>
              <w:t>3</w:t>
            </w:r>
            <w:r>
              <w:rPr>
                <w:spacing w:val="-3"/>
              </w:rPr>
              <w:t>O</w:t>
            </w:r>
            <w:r>
              <w:rPr>
                <w:spacing w:val="-2"/>
                <w:sz w:val="12"/>
              </w:rPr>
              <w:t>8</w:t>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Tonnage</w:t>
            </w:r>
            <w:r>
              <w:rPr/>
              <w:t xml:space="preserve"> </w:t>
              <w:br/>
            </w:r>
            <w:r>
              <w:rPr>
                <w:spacing w:val="-3"/>
              </w:rPr>
              <w:t xml:space="preserve">(Mt)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4"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Grade</w:t>
            </w:r>
            <w:r>
              <w:rPr/>
              <w:t xml:space="preserve"> </w:t>
              <w:br/>
            </w:r>
            <w:r>
              <w:rPr>
                <w:spacing w:val="-3"/>
              </w:rPr>
              <w:t>(U</w:t>
            </w:r>
            <w:r>
              <w:rPr>
                <w:spacing w:val="-2"/>
                <w:sz w:val="12"/>
              </w:rPr>
              <w:t>3</w:t>
            </w:r>
            <w:r>
              <w:rPr>
                <w:spacing w:val="-3"/>
              </w:rPr>
              <w:t>O</w:t>
            </w:r>
            <w:r>
              <w:rPr>
                <w:spacing w:val="-2"/>
                <w:sz w:val="12"/>
              </w:rPr>
              <w:t>8</w:t>
            </w:r>
            <w:r>
              <w:rPr>
                <w:spacing w:val="-3"/>
              </w:rPr>
              <w:t xml:space="preserve"> ppm)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4"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Contained Metal</w:t>
            </w:r>
            <w:r>
              <w:rPr/>
              <w:t xml:space="preserve"> </w:t>
              <w:br/>
            </w:r>
            <w:r>
              <w:rPr>
                <w:spacing w:val="-3"/>
              </w:rPr>
              <w:t>(U</w:t>
            </w:r>
            <w:r>
              <w:rPr>
                <w:spacing w:val="-2"/>
                <w:sz w:val="12"/>
              </w:rPr>
              <w:t>3</w:t>
            </w:r>
            <w:r>
              <w:rPr>
                <w:spacing w:val="-3"/>
              </w:rPr>
              <w:t>O</w:t>
            </w:r>
            <w:r>
              <w:rPr>
                <w:spacing w:val="-2"/>
                <w:sz w:val="12"/>
              </w:rPr>
              <w:t>8</w:t>
            </w:r>
            <w:r>
              <w:rPr>
                <w:spacing w:val="-3"/>
              </w:rPr>
              <w:t xml:space="preserve"> Mlb)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1384" w:type="dxa"/>
            <w:tcBorders/>
            <w:shd w:fill="CCEEFF" w:val="clear"/>
            <w:tcMar>
              <w:bottom w:w="0" w:type="dxa"/>
            </w:tcMar>
            <w:vAlign w:val="center"/>
          </w:tcPr>
          <w:p>
            <w:pPr>
              <w:pStyle w:val="TableContents"/>
              <w:bidi w:val="0"/>
              <w:spacing w:before="0" w:after="0"/>
              <w:jc w:val="center"/>
              <w:rPr>
                <w:b/>
              </w:rPr>
            </w:pPr>
            <w:r>
              <w:rPr>
                <w:b/>
                <w:spacing w:val="-4"/>
              </w:rPr>
              <w:t>Indicated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Aurora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100</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2" w:type="dxa"/>
            <w:tcBorders/>
            <w:shd w:fill="CCEEFF" w:val="clear"/>
            <w:tcMar>
              <w:bottom w:w="0" w:type="dxa"/>
            </w:tcMar>
            <w:vAlign w:val="center"/>
          </w:tcPr>
          <w:p>
            <w:pPr>
              <w:pStyle w:val="TableContents"/>
              <w:bidi w:val="0"/>
              <w:spacing w:before="0" w:after="283"/>
              <w:jc w:val="right"/>
              <w:rPr/>
            </w:pPr>
            <w:r>
              <w:rPr/>
              <w:t>53.42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278</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1005" w:type="dxa"/>
            <w:tcBorders/>
            <w:shd w:fill="CCEEFF" w:val="clear"/>
            <w:tcMar>
              <w:bottom w:w="0" w:type="dxa"/>
            </w:tcMar>
            <w:vAlign w:val="center"/>
          </w:tcPr>
          <w:p>
            <w:pPr>
              <w:pStyle w:val="TableContents"/>
              <w:bidi w:val="0"/>
              <w:spacing w:before="0" w:after="283"/>
              <w:jc w:val="right"/>
              <w:rPr/>
            </w:pPr>
            <w:r>
              <w:rPr/>
              <w:t>32.75</w:t>
            </w:r>
          </w:p>
        </w:tc>
        <w:tc>
          <w:tcPr>
            <w:tcW w:w="171"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84" w:type="dxa"/>
            <w:tcBorders/>
            <w:tcMar>
              <w:bottom w:w="0" w:type="dxa"/>
            </w:tcMar>
            <w:vAlign w:val="center"/>
          </w:tcPr>
          <w:p>
            <w:pPr>
              <w:pStyle w:val="TableContents"/>
              <w:bidi w:val="0"/>
              <w:spacing w:before="0" w:after="0"/>
              <w:jc w:val="center"/>
              <w:rPr>
                <w:b/>
              </w:rPr>
            </w:pPr>
            <w:r>
              <w:rPr>
                <w:b/>
                <w:spacing w:val="-4"/>
              </w:rPr>
              <w:t>Inferred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Aurora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100</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2" w:type="dxa"/>
            <w:tcBorders/>
            <w:tcMar>
              <w:bottom w:w="0" w:type="dxa"/>
            </w:tcMar>
            <w:vAlign w:val="center"/>
          </w:tcPr>
          <w:p>
            <w:pPr>
              <w:pStyle w:val="TableContents"/>
              <w:bidi w:val="0"/>
              <w:spacing w:before="0" w:after="283"/>
              <w:jc w:val="right"/>
              <w:rPr/>
            </w:pPr>
            <w:r>
              <w:rPr/>
              <w:t>8.96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252</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right"/>
              <w:rPr/>
            </w:pPr>
            <w:r>
              <w:rPr/>
              <w:t>​</w:t>
            </w:r>
          </w:p>
        </w:tc>
        <w:tc>
          <w:tcPr>
            <w:tcW w:w="1005" w:type="dxa"/>
            <w:tcBorders/>
            <w:tcMar>
              <w:bottom w:w="0" w:type="dxa"/>
            </w:tcMar>
            <w:vAlign w:val="center"/>
          </w:tcPr>
          <w:p>
            <w:pPr>
              <w:pStyle w:val="TableContents"/>
              <w:bidi w:val="0"/>
              <w:spacing w:before="0" w:after="283"/>
              <w:jc w:val="right"/>
              <w:rPr/>
            </w:pPr>
            <w:r>
              <w:rPr/>
              <w:t>4.98</w:t>
            </w:r>
          </w:p>
        </w:tc>
        <w:tc>
          <w:tcPr>
            <w:tcW w:w="171"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MRE Statement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 1300 definition standards were followed for the resource estimate. </w:t>
      </w:r>
      <w:r>
        <mc:AlternateContent>
          <mc:Choice Requires="wps">
            <w:drawing>
              <wp:anchor behindDoc="0" distT="101600" distB="0" distL="25400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31"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MRE used ordinary kriging (OK) grade estimation within a three-dimensional block model with mineralized domains defined by wireframed solids. </w:t>
      </w:r>
      <w:r>
        <mc:AlternateContent>
          <mc:Choice Requires="wps">
            <w:drawing>
              <wp:anchor behindDoc="0" distT="114300" distB="0" distL="25400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2"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Mineral resources are constrained within pit shells. </w:t>
      </w:r>
      <w:r>
        <mc:AlternateContent>
          <mc:Choice Requires="wps">
            <w:drawing>
              <wp:anchor behindDoc="0" distT="114300" distB="0" distL="25400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3"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100 ppm U</w:t>
      </w:r>
      <w:r>
        <w:rPr>
          <w:rFonts w:ascii="Times New Roman;Times;serif" w:hAnsi="Times New Roman;Times;serif"/>
          <w:b w:val="false"/>
          <w:i w:val="false"/>
          <w:caps w:val="false"/>
          <w:smallCaps w:val="false"/>
          <w:color w:val="000000"/>
          <w:spacing w:val="3"/>
          <w:sz w:val="15"/>
        </w:rPr>
        <w:t>3</w:t>
      </w:r>
      <w:r>
        <w:rPr>
          <w:rFonts w:ascii="Times New Roman;Times;serif" w:hAnsi="Times New Roman;Times;serif"/>
          <w:b w:val="false"/>
          <w:i w:val="false"/>
          <w:caps w:val="false"/>
          <w:smallCaps w:val="false"/>
          <w:color w:val="000000"/>
          <w:spacing w:val="4"/>
          <w:sz w:val="20"/>
        </w:rPr>
        <w:t>O</w:t>
      </w:r>
      <w:r>
        <w:rPr>
          <w:rFonts w:ascii="Times New Roman;Times;serif" w:hAnsi="Times New Roman;Times;serif"/>
          <w:b w:val="false"/>
          <w:i w:val="false"/>
          <w:caps w:val="false"/>
          <w:smallCaps w:val="false"/>
          <w:color w:val="000000"/>
          <w:spacing w:val="3"/>
          <w:sz w:val="15"/>
        </w:rPr>
        <w:t>8</w:t>
      </w:r>
      <w:r>
        <w:rPr>
          <w:rFonts w:ascii="Times New Roman;Times;serif" w:hAnsi="Times New Roman;Times;serif"/>
          <w:b w:val="false"/>
          <w:i w:val="false"/>
          <w:caps w:val="false"/>
          <w:smallCaps w:val="false"/>
          <w:color w:val="000000"/>
          <w:spacing w:val="4"/>
          <w:sz w:val="20"/>
        </w:rPr>
        <w:t xml:space="preserve"> cut-off used for reporting is based on the following: </w:t>
      </w:r>
      <w:r>
        <mc:AlternateContent>
          <mc:Choice Requires="wps">
            <w:drawing>
              <wp:anchor behindDoc="0" distT="114300" distB="0" distL="25400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4"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Long-term metal prices of US$90/lb </w:t>
      </w:r>
      <w:r>
        <mc:AlternateContent>
          <mc:Choice Requires="wps">
            <w:drawing>
              <wp:anchor behindDoc="0" distT="114300" distB="0" distL="50800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5"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Metallurgical recoveries are based on mill recovery of 85% </w:t>
      </w:r>
      <w:r>
        <mc:AlternateContent>
          <mc:Choice Requires="wps">
            <w:drawing>
              <wp:anchor behindDoc="0" distT="114300" distB="0" distL="50800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6"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Average bulk density was determined for each mineralized domain within the deposit </w:t>
      </w:r>
      <w:r>
        <mc:AlternateContent>
          <mc:Choice Requires="wps">
            <w:drawing>
              <wp:anchor behindDoc="0" distT="114300" distB="0" distL="50800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37"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Mining cost of US$4.00/t mined for ore, US$3.00/t mined for waste, and US$2.50/t mined for overburden </w:t>
      </w:r>
      <w:r>
        <mc:AlternateContent>
          <mc:Choice Requires="wps">
            <w:drawing>
              <wp:anchor behindDoc="0" distT="114300" distB="0" distL="50800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38"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Processing and G&amp;A costs of US$13/t milled </w:t>
      </w:r>
      <w:r>
        <mc:AlternateContent>
          <mc:Choice Requires="wps">
            <w:drawing>
              <wp:anchor behindDoc="0" distT="114300" distB="0" distL="50800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39"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Dilution of 5.0% </w:t>
      </w:r>
      <w:r>
        <mc:AlternateContent>
          <mc:Choice Requires="wps">
            <w:drawing>
              <wp:anchor behindDoc="0" distT="114300" distB="0" distL="50800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40"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Mineral Resources that are not mineral reserves do not have economic viability. Numbers may not add due to rounding. </w:t>
      </w:r>
      <w:r>
        <mc:AlternateContent>
          <mc:Choice Requires="wps">
            <w:drawing>
              <wp:anchor behindDoc="0" distT="114300" distB="0" distL="25400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41"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resource estimate was prepared by BBA USA Inc. in accordance with S-K 1300 Standards of Disclosure for Mineral Projects. </w:t>
      </w:r>
      <w:r>
        <mc:AlternateContent>
          <mc:Choice Requires="wps">
            <w:drawing>
              <wp:anchor behindDoc="0" distT="114300" distB="0" distL="254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2"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associated with the Aurora Uranium Project are generally those expected with an open pit project and include the accuracy of the mineral resource.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Quality Assurance and Quality Control — New Eagle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has not conducted any drilling, sample preparation, assaying or analyses on the project, and therefore internal controls relating to quality assurance and quality control have not been necessary. However, prior to conducting exploration that involves drilling, sampling, assaying, and the reporting of results from those activities, we will establish sampling and analytical quality assurance and quality control protocols consistent with industry standards.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Quality Assurance and Quality Control — Previous Operators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quality assurance/quality control protocols implemented by previous operators are not documented, and prior to 2002, quality assurance/quality control programs were not industry standard practice. Subsequent data verification procedures were conducted to validate the results obtained from earlier operators.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Previous exploration on site included the following:</w:t>
      </w:r>
      <w:r>
        <w:rPr>
          <w:rFonts w:ascii="Times New Roman;Times;serif" w:hAnsi="Times New Roman;Times;serif"/>
          <w:b w:val="false"/>
          <w:i w:val="false"/>
          <w:caps w:val="false"/>
          <w:smallCaps w:val="false"/>
          <w:color w:val="000000"/>
          <w:sz w:val="20"/>
        </w:rPr>
        <w:t xml:space="preserve"> </w:t>
      </w:r>
    </w:p>
    <w:tbl>
      <w:tblPr>
        <w:tblW w:w="9662" w:type="dxa"/>
        <w:jc w:val="left"/>
        <w:tblInd w:w="543" w:type="dxa"/>
        <w:tblLayout w:type="fixed"/>
        <w:tblCellMar>
          <w:top w:w="0" w:type="dxa"/>
          <w:left w:w="0" w:type="dxa"/>
          <w:bottom w:w="50" w:type="dxa"/>
          <w:right w:w="0" w:type="dxa"/>
        </w:tblCellMar>
      </w:tblPr>
      <w:tblGrid>
        <w:gridCol w:w="817"/>
        <w:gridCol w:w="109"/>
        <w:gridCol w:w="109"/>
        <w:gridCol w:w="1438"/>
        <w:gridCol w:w="109"/>
        <w:gridCol w:w="109"/>
        <w:gridCol w:w="1526"/>
        <w:gridCol w:w="109"/>
        <w:gridCol w:w="109"/>
        <w:gridCol w:w="1815"/>
        <w:gridCol w:w="109"/>
        <w:gridCol w:w="109"/>
        <w:gridCol w:w="3038"/>
        <w:gridCol w:w="156"/>
      </w:tblGrid>
      <w:tr>
        <w:trPr/>
        <w:tc>
          <w:tcPr>
            <w:tcW w:w="817" w:type="dxa"/>
            <w:tcBorders>
              <w:bottom w:val="single" w:sz="2" w:space="0" w:color="000000"/>
            </w:tcBorders>
            <w:vAlign w:val="center"/>
          </w:tcPr>
          <w:p>
            <w:pPr>
              <w:pStyle w:val="TableContents"/>
              <w:bidi w:val="0"/>
              <w:spacing w:before="0" w:after="0"/>
              <w:jc w:val="left"/>
              <w:rPr>
                <w:spacing w:val="-3"/>
              </w:rPr>
            </w:pPr>
            <w:r>
              <w:rPr>
                <w:spacing w:val="-3"/>
              </w:rPr>
              <w:t xml:space="preserve">Dates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tcBorders>
              <w:bottom w:val="single" w:sz="2" w:space="0" w:color="000000"/>
            </w:tcBorders>
            <w:vAlign w:val="center"/>
          </w:tcPr>
          <w:p>
            <w:pPr>
              <w:pStyle w:val="TableContents"/>
              <w:bidi w:val="0"/>
              <w:spacing w:before="0" w:after="0"/>
              <w:jc w:val="center"/>
              <w:rPr>
                <w:spacing w:val="-3"/>
              </w:rPr>
            </w:pPr>
            <w:r>
              <w:rPr>
                <w:spacing w:val="-3"/>
              </w:rPr>
              <w:t xml:space="preserve">Activities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6" w:type="dxa"/>
            <w:tcBorders>
              <w:bottom w:val="single" w:sz="2" w:space="0" w:color="000000"/>
            </w:tcBorders>
            <w:vAlign w:val="center"/>
          </w:tcPr>
          <w:p>
            <w:pPr>
              <w:pStyle w:val="TableContents"/>
              <w:bidi w:val="0"/>
              <w:spacing w:before="0" w:after="0"/>
              <w:jc w:val="center"/>
              <w:rPr>
                <w:spacing w:val="-3"/>
              </w:rPr>
            </w:pPr>
            <w:r>
              <w:rPr>
                <w:spacing w:val="-3"/>
              </w:rPr>
              <w:t xml:space="preserve">Company(s)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5" w:type="dxa"/>
            <w:tcBorders>
              <w:bottom w:val="single" w:sz="2" w:space="0" w:color="000000"/>
            </w:tcBorders>
            <w:vAlign w:val="center"/>
          </w:tcPr>
          <w:p>
            <w:pPr>
              <w:pStyle w:val="TableContents"/>
              <w:bidi w:val="0"/>
              <w:spacing w:before="0" w:after="0"/>
              <w:jc w:val="center"/>
              <w:rPr>
                <w:spacing w:val="-3"/>
              </w:rPr>
            </w:pPr>
            <w:r>
              <w:rPr>
                <w:spacing w:val="-3"/>
              </w:rPr>
              <w:t xml:space="preserve">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38" w:type="dxa"/>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17" w:type="dxa"/>
            <w:tcBorders/>
            <w:tcMar>
              <w:bottom w:w="0" w:type="dxa"/>
            </w:tcMar>
            <w:vAlign w:val="center"/>
          </w:tcPr>
          <w:p>
            <w:pPr>
              <w:pStyle w:val="TableContents"/>
              <w:bidi w:val="0"/>
              <w:spacing w:before="0" w:after="283"/>
              <w:jc w:val="left"/>
              <w:rPr>
                <w:spacing w:val="4"/>
              </w:rPr>
            </w:pPr>
            <w:r>
              <w:rPr>
                <w:spacing w:val="4"/>
              </w:rPr>
              <w:t xml:space="preserve">1974 – 1975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spacing w:val="4"/>
              </w:rPr>
            </w:pPr>
            <w:r>
              <w:rPr>
                <w:spacing w:val="4"/>
              </w:rPr>
              <w:t xml:space="preserve">Prospecting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6" w:type="dxa"/>
            <w:tcBorders/>
            <w:tcMar>
              <w:bottom w:w="0" w:type="dxa"/>
            </w:tcMar>
            <w:vAlign w:val="center"/>
          </w:tcPr>
          <w:p>
            <w:pPr>
              <w:pStyle w:val="TableContents"/>
              <w:bidi w:val="0"/>
              <w:spacing w:before="0" w:after="283"/>
              <w:jc w:val="left"/>
              <w:rPr>
                <w:spacing w:val="4"/>
              </w:rPr>
            </w:pPr>
            <w:r>
              <w:rPr>
                <w:spacing w:val="4"/>
              </w:rPr>
              <w:t xml:space="preserve">Placer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0"/>
              <w:jc w:val="both"/>
              <w:rPr>
                <w:spacing w:val="4"/>
              </w:rPr>
            </w:pPr>
            <w:r>
              <w:rPr>
                <w:spacing w:val="4"/>
              </w:rPr>
              <w:t xml:space="preserve">Mercury and gold exploration around Bretz Mine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38" w:type="dxa"/>
            <w:tcBorders/>
            <w:tcMar>
              <w:bottom w:w="0" w:type="dxa"/>
            </w:tcMar>
            <w:vAlign w:val="center"/>
          </w:tcPr>
          <w:p>
            <w:pPr>
              <w:pStyle w:val="TableContents"/>
              <w:bidi w:val="0"/>
              <w:spacing w:before="0" w:after="0"/>
              <w:jc w:val="both"/>
              <w:rPr>
                <w:spacing w:val="4"/>
              </w:rPr>
            </w:pPr>
            <w:r>
              <w:rPr>
                <w:spacing w:val="4"/>
              </w:rPr>
              <w:t xml:space="preserve">Suspended activities due to unpromising results. </w:t>
            </w:r>
          </w:p>
        </w:tc>
        <w:tc>
          <w:tcPr>
            <w:tcW w:w="156" w:type="dxa"/>
            <w:tcBorders/>
            <w:tcMar>
              <w:bottom w:w="0" w:type="dxa"/>
            </w:tcMar>
            <w:vAlign w:val="center"/>
          </w:tcPr>
          <w:p>
            <w:pPr>
              <w:pStyle w:val="TableContents"/>
              <w:bidi w:val="0"/>
              <w:spacing w:before="0" w:after="283"/>
              <w:jc w:val="left"/>
              <w:rPr/>
            </w:pPr>
            <w:r>
              <w:rPr/>
              <w:t>​</w:t>
            </w:r>
          </w:p>
        </w:tc>
      </w:tr>
      <w:tr>
        <w:trPr/>
        <w:tc>
          <w:tcPr>
            <w:tcW w:w="817" w:type="dxa"/>
            <w:tcBorders/>
            <w:tcMar>
              <w:bottom w:w="0" w:type="dxa"/>
            </w:tcMar>
            <w:vAlign w:val="center"/>
          </w:tcPr>
          <w:p>
            <w:pPr>
              <w:pStyle w:val="TableContents"/>
              <w:bidi w:val="0"/>
              <w:spacing w:before="0" w:after="283"/>
              <w:jc w:val="left"/>
              <w:rPr>
                <w:spacing w:val="4"/>
              </w:rPr>
            </w:pPr>
            <w:r>
              <w:rPr>
                <w:spacing w:val="4"/>
              </w:rPr>
              <w:t xml:space="preserve">1977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spacing w:val="4"/>
              </w:rPr>
            </w:pPr>
            <w:r>
              <w:rPr>
                <w:spacing w:val="4"/>
              </w:rPr>
              <w:t xml:space="preserve">Prospecting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6" w:type="dxa"/>
            <w:tcBorders/>
            <w:tcMar>
              <w:bottom w:w="0" w:type="dxa"/>
            </w:tcMar>
            <w:vAlign w:val="center"/>
          </w:tcPr>
          <w:p>
            <w:pPr>
              <w:pStyle w:val="TableContents"/>
              <w:bidi w:val="0"/>
              <w:spacing w:before="0" w:after="0"/>
              <w:jc w:val="left"/>
              <w:rPr>
                <w:spacing w:val="4"/>
              </w:rPr>
            </w:pPr>
            <w:r>
              <w:rPr>
                <w:spacing w:val="4"/>
              </w:rPr>
              <w:t xml:space="preserve">Cordex Syndicate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0"/>
              <w:jc w:val="both"/>
              <w:rPr>
                <w:spacing w:val="4"/>
              </w:rPr>
            </w:pPr>
            <w:r>
              <w:rPr>
                <w:spacing w:val="4"/>
              </w:rPr>
              <w:t xml:space="preserve">Uranium exploration commences around the Bentz Mine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38" w:type="dxa"/>
            <w:tcBorders/>
            <w:tcMar>
              <w:bottom w:w="0" w:type="dxa"/>
            </w:tcMar>
            <w:vAlign w:val="center"/>
          </w:tcPr>
          <w:p>
            <w:pPr>
              <w:pStyle w:val="TableContents"/>
              <w:bidi w:val="0"/>
              <w:spacing w:before="0" w:after="0"/>
              <w:jc w:val="both"/>
              <w:rPr>
                <w:spacing w:val="4"/>
              </w:rPr>
            </w:pPr>
            <w:r>
              <w:rPr>
                <w:spacing w:val="4"/>
              </w:rPr>
              <w:t xml:space="preserve">Cordex Syndicate leased the Bretz property and adjacent claims (excluding the Aurora Deposit) for uranium exploration. </w:t>
            </w:r>
          </w:p>
        </w:tc>
        <w:tc>
          <w:tcPr>
            <w:tcW w:w="156" w:type="dxa"/>
            <w:tcBorders/>
            <w:tcMar>
              <w:bottom w:w="0" w:type="dxa"/>
            </w:tcMar>
            <w:vAlign w:val="center"/>
          </w:tcPr>
          <w:p>
            <w:pPr>
              <w:pStyle w:val="TableContents"/>
              <w:bidi w:val="0"/>
              <w:spacing w:before="0" w:after="283"/>
              <w:jc w:val="left"/>
              <w:rPr/>
            </w:pPr>
            <w:r>
              <w:rPr/>
              <w:t>​</w:t>
            </w:r>
          </w:p>
        </w:tc>
      </w:tr>
      <w:tr>
        <w:trPr/>
        <w:tc>
          <w:tcPr>
            <w:tcW w:w="817" w:type="dxa"/>
            <w:tcBorders/>
            <w:tcMar>
              <w:bottom w:w="0" w:type="dxa"/>
            </w:tcMar>
            <w:vAlign w:val="center"/>
          </w:tcPr>
          <w:p>
            <w:pPr>
              <w:pStyle w:val="TableContents"/>
              <w:bidi w:val="0"/>
              <w:spacing w:before="0" w:after="283"/>
              <w:jc w:val="left"/>
              <w:rPr>
                <w:spacing w:val="4"/>
              </w:rPr>
            </w:pPr>
            <w:r>
              <w:rPr>
                <w:spacing w:val="4"/>
              </w:rPr>
              <w:t xml:space="preserve">1977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spacing w:val="4"/>
              </w:rPr>
            </w:pPr>
            <w:r>
              <w:rPr>
                <w:spacing w:val="4"/>
              </w:rPr>
              <w:t xml:space="preserve">Geophysics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6" w:type="dxa"/>
            <w:tcBorders/>
            <w:tcMar>
              <w:bottom w:w="0" w:type="dxa"/>
            </w:tcMar>
            <w:vAlign w:val="center"/>
          </w:tcPr>
          <w:p>
            <w:pPr>
              <w:pStyle w:val="TableContents"/>
              <w:bidi w:val="0"/>
              <w:spacing w:before="0" w:after="283"/>
              <w:jc w:val="left"/>
              <w:rPr>
                <w:spacing w:val="4"/>
              </w:rPr>
            </w:pPr>
            <w:r>
              <w:rPr>
                <w:spacing w:val="4"/>
              </w:rPr>
              <w:t xml:space="preserve">Locke Jacobs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0"/>
              <w:jc w:val="both"/>
              <w:rPr>
                <w:spacing w:val="4"/>
              </w:rPr>
            </w:pPr>
            <w:r>
              <w:rPr>
                <w:spacing w:val="4"/>
              </w:rPr>
              <w:t xml:space="preserve">Conducted an airborne geophysical survey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38" w:type="dxa"/>
            <w:tcBorders/>
            <w:tcMar>
              <w:bottom w:w="0" w:type="dxa"/>
            </w:tcMar>
            <w:vAlign w:val="center"/>
          </w:tcPr>
          <w:p>
            <w:pPr>
              <w:pStyle w:val="TableContents"/>
              <w:bidi w:val="0"/>
              <w:spacing w:before="0" w:after="0"/>
              <w:jc w:val="both"/>
              <w:rPr>
                <w:spacing w:val="4"/>
              </w:rPr>
            </w:pPr>
            <w:r>
              <w:rPr>
                <w:spacing w:val="4"/>
              </w:rPr>
              <w:t xml:space="preserve">Discovered uranium mineralized outcrops at the Aurora site. </w:t>
            </w:r>
          </w:p>
        </w:tc>
        <w:tc>
          <w:tcPr>
            <w:tcW w:w="156" w:type="dxa"/>
            <w:tcBorders/>
            <w:tcMar>
              <w:bottom w:w="0" w:type="dxa"/>
            </w:tcMar>
            <w:vAlign w:val="center"/>
          </w:tcPr>
          <w:p>
            <w:pPr>
              <w:pStyle w:val="TableContents"/>
              <w:bidi w:val="0"/>
              <w:spacing w:before="0" w:after="283"/>
              <w:jc w:val="left"/>
              <w:rPr/>
            </w:pPr>
            <w:r>
              <w:rPr/>
              <w:t>​</w:t>
            </w:r>
          </w:p>
        </w:tc>
      </w:tr>
      <w:tr>
        <w:trPr/>
        <w:tc>
          <w:tcPr>
            <w:tcW w:w="817" w:type="dxa"/>
            <w:tcBorders/>
            <w:tcMar>
              <w:bottom w:w="0" w:type="dxa"/>
            </w:tcMar>
            <w:vAlign w:val="center"/>
          </w:tcPr>
          <w:p>
            <w:pPr>
              <w:pStyle w:val="TableContents"/>
              <w:bidi w:val="0"/>
              <w:spacing w:before="0" w:after="283"/>
              <w:jc w:val="left"/>
              <w:rPr>
                <w:spacing w:val="4"/>
              </w:rPr>
            </w:pPr>
            <w:r>
              <w:rPr>
                <w:spacing w:val="4"/>
              </w:rPr>
              <w:t xml:space="preserve">1977 – 1978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spacing w:val="4"/>
              </w:rPr>
            </w:pPr>
            <w:r>
              <w:rPr>
                <w:spacing w:val="4"/>
              </w:rPr>
              <w:t xml:space="preserve">Drilling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6" w:type="dxa"/>
            <w:tcBorders/>
            <w:tcMar>
              <w:bottom w:w="0" w:type="dxa"/>
            </w:tcMar>
            <w:vAlign w:val="center"/>
          </w:tcPr>
          <w:p>
            <w:pPr>
              <w:pStyle w:val="TableContents"/>
              <w:bidi w:val="0"/>
              <w:spacing w:before="0" w:after="283"/>
              <w:jc w:val="left"/>
              <w:rPr>
                <w:spacing w:val="4"/>
              </w:rPr>
            </w:pPr>
            <w:r>
              <w:rPr>
                <w:spacing w:val="4"/>
              </w:rPr>
              <w:t xml:space="preserve">Locke Jacobs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0"/>
              <w:jc w:val="both"/>
              <w:rPr>
                <w:spacing w:val="4"/>
              </w:rPr>
            </w:pPr>
            <w:r>
              <w:rPr>
                <w:spacing w:val="4"/>
              </w:rPr>
              <w:t xml:space="preserve">90 holes were drilled around the Aurora Project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38" w:type="dxa"/>
            <w:tcBorders/>
            <w:tcMar>
              <w:bottom w:w="0" w:type="dxa"/>
            </w:tcMar>
            <w:vAlign w:val="center"/>
          </w:tcPr>
          <w:p>
            <w:pPr>
              <w:pStyle w:val="TableContents"/>
              <w:bidi w:val="0"/>
              <w:spacing w:before="0" w:after="0"/>
              <w:jc w:val="both"/>
              <w:rPr/>
            </w:pPr>
            <w:r>
              <w:rPr>
                <w:spacing w:val="4"/>
              </w:rPr>
              <w:t>Drilled around 90 holes in 1977 and 1978, totaling approximately 32,630 feet (9,946 meters). The drilling revealed a flat-lying mineralized zone over 100 feet (31 meters) thick in some areas, with assay averages of about 0.05%, eU</w:t>
            </w:r>
            <w:r>
              <w:rPr>
                <w:spacing w:val="3"/>
                <w:sz w:val="15"/>
              </w:rPr>
              <w:t>3</w:t>
            </w:r>
            <w:r>
              <w:rPr>
                <w:spacing w:val="4"/>
              </w:rPr>
              <w:t>O</w:t>
            </w:r>
            <w:r>
              <w:rPr>
                <w:spacing w:val="3"/>
                <w:sz w:val="15"/>
              </w:rPr>
              <w:t>8</w:t>
            </w:r>
            <w:r>
              <w:rPr>
                <w:spacing w:val="4"/>
              </w:rPr>
              <w:t xml:space="preserve"> (Roper, 1979). </w:t>
            </w:r>
          </w:p>
        </w:tc>
        <w:tc>
          <w:tcPr>
            <w:tcW w:w="156" w:type="dxa"/>
            <w:tcBorders/>
            <w:tcMar>
              <w:bottom w:w="0" w:type="dxa"/>
            </w:tcMar>
            <w:vAlign w:val="center"/>
          </w:tcPr>
          <w:p>
            <w:pPr>
              <w:pStyle w:val="TableContents"/>
              <w:bidi w:val="0"/>
              <w:spacing w:before="0" w:after="283"/>
              <w:jc w:val="left"/>
              <w:rPr/>
            </w:pPr>
            <w:r>
              <w:rPr/>
              <w:t>​</w:t>
            </w:r>
          </w:p>
        </w:tc>
      </w:tr>
      <w:tr>
        <w:trPr/>
        <w:tc>
          <w:tcPr>
            <w:tcW w:w="817" w:type="dxa"/>
            <w:tcBorders/>
            <w:tcMar>
              <w:bottom w:w="0" w:type="dxa"/>
            </w:tcMar>
            <w:vAlign w:val="center"/>
          </w:tcPr>
          <w:p>
            <w:pPr>
              <w:pStyle w:val="TableContents"/>
              <w:bidi w:val="0"/>
              <w:spacing w:before="0" w:after="283"/>
              <w:jc w:val="left"/>
              <w:rPr>
                <w:spacing w:val="4"/>
              </w:rPr>
            </w:pPr>
            <w:r>
              <w:rPr>
                <w:spacing w:val="4"/>
              </w:rPr>
              <w:t xml:space="preserve">1978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spacing w:val="4"/>
              </w:rPr>
            </w:pPr>
            <w:r>
              <w:rPr>
                <w:spacing w:val="4"/>
              </w:rPr>
              <w:t xml:space="preserve">Drilling/Geophysics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6" w:type="dxa"/>
            <w:tcBorders/>
            <w:tcMar>
              <w:bottom w:w="0" w:type="dxa"/>
            </w:tcMar>
            <w:vAlign w:val="center"/>
          </w:tcPr>
          <w:p>
            <w:pPr>
              <w:pStyle w:val="TableContents"/>
              <w:bidi w:val="0"/>
              <w:spacing w:before="0" w:after="0"/>
              <w:jc w:val="both"/>
              <w:rPr>
                <w:spacing w:val="4"/>
              </w:rPr>
            </w:pPr>
            <w:r>
              <w:rPr>
                <w:spacing w:val="4"/>
              </w:rPr>
              <w:t xml:space="preserve">Placer and Jacobs enter a joint venture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0"/>
              <w:jc w:val="both"/>
              <w:rPr>
                <w:spacing w:val="4"/>
              </w:rPr>
            </w:pPr>
            <w:r>
              <w:rPr>
                <w:spacing w:val="4"/>
              </w:rPr>
              <w:t xml:space="preserve">Completed approximately 447 rotary drillholes, and 25 diamond drillholes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38" w:type="dxa"/>
            <w:tcBorders/>
            <w:tcMar>
              <w:bottom w:w="0" w:type="dxa"/>
            </w:tcMar>
            <w:vAlign w:val="center"/>
          </w:tcPr>
          <w:p>
            <w:pPr>
              <w:pStyle w:val="TableContents"/>
              <w:bidi w:val="0"/>
              <w:spacing w:before="0" w:after="0"/>
              <w:jc w:val="both"/>
              <w:rPr>
                <w:spacing w:val="4"/>
              </w:rPr>
            </w:pPr>
            <w:r>
              <w:rPr>
                <w:spacing w:val="4"/>
              </w:rPr>
              <w:t xml:space="preserve">Placer completed approximately 447 rotary drillholes totaling about 151,590 feet (46,205 meters), as well as 25 diamond drillholes totaling about 6,650 feet (2,027 meters). The 562 drillholes completed by Jacobs and Placer were radiometrically logged by Century Geophysical Corp. </w:t>
            </w:r>
          </w:p>
        </w:tc>
        <w:tc>
          <w:tcPr>
            <w:tcW w:w="156" w:type="dxa"/>
            <w:tcBorders/>
            <w:tcMar>
              <w:bottom w:w="0" w:type="dxa"/>
            </w:tcMar>
            <w:vAlign w:val="center"/>
          </w:tcPr>
          <w:p>
            <w:pPr>
              <w:pStyle w:val="TableContents"/>
              <w:bidi w:val="0"/>
              <w:spacing w:before="0" w:after="283"/>
              <w:jc w:val="left"/>
              <w:rPr/>
            </w:pPr>
            <w:r>
              <w:rPr/>
              <w:t>​</w:t>
            </w:r>
          </w:p>
        </w:tc>
      </w:tr>
      <w:tr>
        <w:trPr/>
        <w:tc>
          <w:tcPr>
            <w:tcW w:w="817" w:type="dxa"/>
            <w:tcBorders/>
            <w:tcMar>
              <w:bottom w:w="0" w:type="dxa"/>
            </w:tcMar>
            <w:vAlign w:val="center"/>
          </w:tcPr>
          <w:p>
            <w:pPr>
              <w:pStyle w:val="TableContents"/>
              <w:bidi w:val="0"/>
              <w:spacing w:before="0" w:after="283"/>
              <w:jc w:val="left"/>
              <w:rPr>
                <w:spacing w:val="4"/>
              </w:rPr>
            </w:pPr>
            <w:r>
              <w:rPr>
                <w:spacing w:val="4"/>
              </w:rPr>
              <w:t xml:space="preserve">1980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spacing w:val="4"/>
              </w:rPr>
            </w:pPr>
            <w:r>
              <w:rPr>
                <w:spacing w:val="4"/>
              </w:rPr>
              <w:t xml:space="preserve">Study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6" w:type="dxa"/>
            <w:tcBorders/>
            <w:tcMar>
              <w:bottom w:w="0" w:type="dxa"/>
            </w:tcMar>
            <w:vAlign w:val="center"/>
          </w:tcPr>
          <w:p>
            <w:pPr>
              <w:pStyle w:val="TableContents"/>
              <w:bidi w:val="0"/>
              <w:spacing w:before="0" w:after="283"/>
              <w:jc w:val="left"/>
              <w:rPr>
                <w:spacing w:val="4"/>
              </w:rPr>
            </w:pPr>
            <w:r>
              <w:rPr>
                <w:spacing w:val="4"/>
              </w:rPr>
              <w:t xml:space="preserve">Placer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0"/>
              <w:jc w:val="both"/>
              <w:rPr>
                <w:spacing w:val="4"/>
              </w:rPr>
            </w:pPr>
            <w:r>
              <w:rPr>
                <w:spacing w:val="4"/>
              </w:rPr>
              <w:t xml:space="preserve">Initial PFS for the Aurora Project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38" w:type="dxa"/>
            <w:tcBorders/>
            <w:tcMar>
              <w:bottom w:w="0" w:type="dxa"/>
            </w:tcMar>
            <w:vAlign w:val="center"/>
          </w:tcPr>
          <w:p>
            <w:pPr>
              <w:pStyle w:val="TableContents"/>
              <w:bidi w:val="0"/>
              <w:spacing w:before="0" w:after="0"/>
              <w:jc w:val="both"/>
              <w:rPr>
                <w:spacing w:val="4"/>
              </w:rPr>
            </w:pPr>
            <w:r>
              <w:rPr>
                <w:spacing w:val="4"/>
              </w:rPr>
              <w:t xml:space="preserve">Placer completed a PFS for the Aurora Project in 1980. </w:t>
            </w:r>
          </w:p>
        </w:tc>
        <w:tc>
          <w:tcPr>
            <w:tcW w:w="156" w:type="dxa"/>
            <w:tcBorders/>
            <w:tcMar>
              <w:bottom w:w="0" w:type="dxa"/>
            </w:tcMar>
            <w:vAlign w:val="center"/>
          </w:tcPr>
          <w:p>
            <w:pPr>
              <w:pStyle w:val="TableContents"/>
              <w:bidi w:val="0"/>
              <w:spacing w:before="0" w:after="283"/>
              <w:jc w:val="left"/>
              <w:rPr/>
            </w:pPr>
            <w:r>
              <w:rPr/>
              <w:t>​</w:t>
            </w:r>
          </w:p>
        </w:tc>
      </w:tr>
      <w:tr>
        <w:trPr/>
        <w:tc>
          <w:tcPr>
            <w:tcW w:w="817" w:type="dxa"/>
            <w:tcBorders/>
            <w:tcMar>
              <w:bottom w:w="0" w:type="dxa"/>
            </w:tcMar>
            <w:vAlign w:val="center"/>
          </w:tcPr>
          <w:p>
            <w:pPr>
              <w:pStyle w:val="TableContents"/>
              <w:bidi w:val="0"/>
              <w:spacing w:before="0" w:after="283"/>
              <w:jc w:val="left"/>
              <w:rPr>
                <w:spacing w:val="4"/>
              </w:rPr>
            </w:pPr>
            <w:r>
              <w:rPr>
                <w:spacing w:val="4"/>
              </w:rPr>
              <w:t xml:space="preserve">1975 – 1980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0"/>
              <w:jc w:val="left"/>
              <w:rPr>
                <w:spacing w:val="4"/>
              </w:rPr>
            </w:pPr>
            <w:r>
              <w:rPr>
                <w:spacing w:val="4"/>
              </w:rPr>
              <w:t xml:space="preserve">Metallurgical Study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6" w:type="dxa"/>
            <w:tcBorders/>
            <w:tcMar>
              <w:bottom w:w="0" w:type="dxa"/>
            </w:tcMar>
            <w:vAlign w:val="center"/>
          </w:tcPr>
          <w:p>
            <w:pPr>
              <w:pStyle w:val="TableContents"/>
              <w:bidi w:val="0"/>
              <w:spacing w:before="0" w:after="0"/>
              <w:jc w:val="both"/>
              <w:rPr>
                <w:spacing w:val="4"/>
              </w:rPr>
            </w:pPr>
            <w:r>
              <w:rPr>
                <w:spacing w:val="4"/>
              </w:rPr>
              <w:t xml:space="preserve">Hazen Research Laboratories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283"/>
              <w:jc w:val="left"/>
              <w:rPr>
                <w:spacing w:val="4"/>
              </w:rPr>
            </w:pPr>
            <w:r>
              <w:rPr>
                <w:spacing w:val="4"/>
              </w:rPr>
              <w:t xml:space="preserve">Metallurgical testing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38" w:type="dxa"/>
            <w:tcBorders/>
            <w:tcMar>
              <w:bottom w:w="0" w:type="dxa"/>
            </w:tcMar>
            <w:vAlign w:val="center"/>
          </w:tcPr>
          <w:p>
            <w:pPr>
              <w:pStyle w:val="TableContents"/>
              <w:bidi w:val="0"/>
              <w:spacing w:before="0" w:after="0"/>
              <w:jc w:val="both"/>
              <w:rPr>
                <w:spacing w:val="4"/>
              </w:rPr>
            </w:pPr>
            <w:r>
              <w:rPr>
                <w:spacing w:val="4"/>
              </w:rPr>
              <w:t xml:space="preserve">Between 1975 and 1980, Hazen Research Laboratories conducted extensive metallurgical tests on material from the Aurora Deposit. </w:t>
            </w:r>
          </w:p>
        </w:tc>
        <w:tc>
          <w:tcPr>
            <w:tcW w:w="156" w:type="dxa"/>
            <w:tcBorders/>
            <w:tcMar>
              <w:bottom w:w="0" w:type="dxa"/>
            </w:tcMar>
            <w:vAlign w:val="center"/>
          </w:tcPr>
          <w:p>
            <w:pPr>
              <w:pStyle w:val="TableContents"/>
              <w:bidi w:val="0"/>
              <w:spacing w:before="0" w:after="283"/>
              <w:jc w:val="left"/>
              <w:rPr/>
            </w:pPr>
            <w:r>
              <w:rPr/>
              <w:t>​</w:t>
            </w:r>
          </w:p>
        </w:tc>
      </w:tr>
      <w:tr>
        <w:trPr/>
        <w:tc>
          <w:tcPr>
            <w:tcW w:w="817" w:type="dxa"/>
            <w:tcBorders/>
            <w:tcMar>
              <w:bottom w:w="0" w:type="dxa"/>
            </w:tcMar>
            <w:vAlign w:val="center"/>
          </w:tcPr>
          <w:p>
            <w:pPr>
              <w:pStyle w:val="TableContents"/>
              <w:bidi w:val="0"/>
              <w:spacing w:before="0" w:after="283"/>
              <w:jc w:val="left"/>
              <w:rPr>
                <w:spacing w:val="4"/>
              </w:rPr>
            </w:pPr>
            <w:r>
              <w:rPr>
                <w:spacing w:val="4"/>
              </w:rPr>
              <w:t xml:space="preserve">1997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spacing w:val="4"/>
              </w:rPr>
            </w:pPr>
            <w:r>
              <w:rPr>
                <w:spacing w:val="4"/>
              </w:rPr>
              <w:t xml:space="preserve">Acquisition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6" w:type="dxa"/>
            <w:tcBorders/>
            <w:tcMar>
              <w:bottom w:w="0" w:type="dxa"/>
            </w:tcMar>
            <w:vAlign w:val="center"/>
          </w:tcPr>
          <w:p>
            <w:pPr>
              <w:pStyle w:val="TableContents"/>
              <w:bidi w:val="0"/>
              <w:spacing w:before="0" w:after="0"/>
              <w:jc w:val="both"/>
              <w:rPr>
                <w:spacing w:val="4"/>
              </w:rPr>
            </w:pPr>
            <w:r>
              <w:rPr>
                <w:spacing w:val="4"/>
              </w:rPr>
              <w:t xml:space="preserve">Energy Metals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0"/>
              <w:jc w:val="both"/>
              <w:rPr>
                <w:spacing w:val="4"/>
              </w:rPr>
            </w:pPr>
            <w:r>
              <w:rPr>
                <w:spacing w:val="4"/>
              </w:rPr>
              <w:t xml:space="preserve">Option agreement to acquire the Aurora Project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38" w:type="dxa"/>
            <w:tcBorders/>
            <w:tcMar>
              <w:bottom w:w="0" w:type="dxa"/>
            </w:tcMar>
            <w:vAlign w:val="center"/>
          </w:tcPr>
          <w:p>
            <w:pPr>
              <w:pStyle w:val="TableContents"/>
              <w:bidi w:val="0"/>
              <w:spacing w:before="0" w:after="0"/>
              <w:jc w:val="both"/>
              <w:rPr>
                <w:spacing w:val="4"/>
              </w:rPr>
            </w:pPr>
            <w:r>
              <w:rPr>
                <w:spacing w:val="4"/>
              </w:rPr>
              <w:t xml:space="preserve">In 1997 Willam Sherriff restoked the uranium claims after Placer let the claims laps. Energy Metals Corp entered into an agreement to purchase the project rights from Sherrill and completed an initial 43 – 101 report in 2004. EMC acquired 100%, interest in the Properly from Sheriff on July 19, 2004. </w:t>
            </w:r>
          </w:p>
        </w:tc>
        <w:tc>
          <w:tcPr>
            <w:tcW w:w="156" w:type="dxa"/>
            <w:tcBorders/>
            <w:tcMar>
              <w:bottom w:w="0" w:type="dxa"/>
            </w:tcMar>
            <w:vAlign w:val="center"/>
          </w:tcPr>
          <w:p>
            <w:pPr>
              <w:pStyle w:val="TableContents"/>
              <w:bidi w:val="0"/>
              <w:spacing w:before="0" w:after="283"/>
              <w:jc w:val="left"/>
              <w:rPr/>
            </w:pPr>
            <w:r>
              <w:rPr/>
              <w:t>​</w:t>
            </w:r>
          </w:p>
        </w:tc>
      </w:tr>
      <w:tr>
        <w:trPr/>
        <w:tc>
          <w:tcPr>
            <w:tcW w:w="817" w:type="dxa"/>
            <w:tcBorders/>
            <w:tcMar>
              <w:bottom w:w="0" w:type="dxa"/>
            </w:tcMar>
            <w:vAlign w:val="center"/>
          </w:tcPr>
          <w:p>
            <w:pPr>
              <w:pStyle w:val="TableContents"/>
              <w:bidi w:val="0"/>
              <w:spacing w:before="0" w:after="283"/>
              <w:jc w:val="left"/>
              <w:rPr>
                <w:spacing w:val="4"/>
              </w:rPr>
            </w:pPr>
            <w:r>
              <w:rPr>
                <w:spacing w:val="4"/>
              </w:rPr>
              <w:t xml:space="preserve">2007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spacing w:val="4"/>
              </w:rPr>
            </w:pPr>
            <w:r>
              <w:rPr>
                <w:spacing w:val="4"/>
              </w:rPr>
              <w:t xml:space="preserve">Acquisition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6" w:type="dxa"/>
            <w:tcBorders/>
            <w:tcMar>
              <w:bottom w:w="0" w:type="dxa"/>
            </w:tcMar>
            <w:vAlign w:val="center"/>
          </w:tcPr>
          <w:p>
            <w:pPr>
              <w:pStyle w:val="TableContents"/>
              <w:bidi w:val="0"/>
              <w:spacing w:before="0" w:after="0"/>
              <w:jc w:val="both"/>
              <w:rPr>
                <w:spacing w:val="4"/>
              </w:rPr>
            </w:pPr>
            <w:r>
              <w:rPr>
                <w:spacing w:val="4"/>
              </w:rPr>
              <w:t xml:space="preserve">Uranium One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0"/>
              <w:jc w:val="both"/>
              <w:rPr>
                <w:spacing w:val="4"/>
              </w:rPr>
            </w:pPr>
            <w:r>
              <w:rPr>
                <w:spacing w:val="4"/>
              </w:rPr>
              <w:t xml:space="preserve">Uranium One Inc acquired Energy Metals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38" w:type="dxa"/>
            <w:tcBorders/>
            <w:tcMar>
              <w:bottom w:w="0" w:type="dxa"/>
            </w:tcMar>
            <w:vAlign w:val="center"/>
          </w:tcPr>
          <w:p>
            <w:pPr>
              <w:pStyle w:val="TableContents"/>
              <w:bidi w:val="0"/>
              <w:spacing w:before="0" w:after="283"/>
              <w:jc w:val="left"/>
              <w:rPr>
                <w:spacing w:val="4"/>
              </w:rPr>
            </w:pPr>
            <w:r>
              <w:rPr>
                <w:spacing w:val="4"/>
              </w:rPr>
              <w:t xml:space="preserve">Uranium One Inc. acquired EMC in 2007.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662" w:type="dxa"/>
        <w:jc w:val="left"/>
        <w:tblInd w:w="543" w:type="dxa"/>
        <w:tblLayout w:type="fixed"/>
        <w:tblCellMar>
          <w:top w:w="0" w:type="dxa"/>
          <w:left w:w="0" w:type="dxa"/>
          <w:bottom w:w="50" w:type="dxa"/>
          <w:right w:w="0" w:type="dxa"/>
        </w:tblCellMar>
      </w:tblPr>
      <w:tblGrid>
        <w:gridCol w:w="655"/>
        <w:gridCol w:w="109"/>
        <w:gridCol w:w="109"/>
        <w:gridCol w:w="1247"/>
        <w:gridCol w:w="109"/>
        <w:gridCol w:w="109"/>
        <w:gridCol w:w="1242"/>
        <w:gridCol w:w="109"/>
        <w:gridCol w:w="109"/>
        <w:gridCol w:w="1794"/>
        <w:gridCol w:w="109"/>
        <w:gridCol w:w="109"/>
        <w:gridCol w:w="3696"/>
        <w:gridCol w:w="156"/>
      </w:tblGrid>
      <w:tr>
        <w:trPr/>
        <w:tc>
          <w:tcPr>
            <w:tcW w:w="655" w:type="dxa"/>
            <w:tcBorders>
              <w:bottom w:val="single" w:sz="2" w:space="0" w:color="000000"/>
            </w:tcBorders>
            <w:vAlign w:val="center"/>
          </w:tcPr>
          <w:p>
            <w:pPr>
              <w:pStyle w:val="TableContents"/>
              <w:bidi w:val="0"/>
              <w:spacing w:before="0" w:after="0"/>
              <w:jc w:val="left"/>
              <w:rPr>
                <w:spacing w:val="-3"/>
              </w:rPr>
            </w:pPr>
            <w:r>
              <w:rPr>
                <w:spacing w:val="-3"/>
              </w:rPr>
              <w:t xml:space="preserve">Dates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7" w:type="dxa"/>
            <w:tcBorders>
              <w:bottom w:val="single" w:sz="2" w:space="0" w:color="000000"/>
            </w:tcBorders>
            <w:vAlign w:val="center"/>
          </w:tcPr>
          <w:p>
            <w:pPr>
              <w:pStyle w:val="TableContents"/>
              <w:bidi w:val="0"/>
              <w:spacing w:before="0" w:after="0"/>
              <w:jc w:val="center"/>
              <w:rPr>
                <w:spacing w:val="-3"/>
              </w:rPr>
            </w:pPr>
            <w:r>
              <w:rPr>
                <w:spacing w:val="-3"/>
              </w:rPr>
              <w:t xml:space="preserve">Activities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2" w:type="dxa"/>
            <w:tcBorders>
              <w:bottom w:val="single" w:sz="2" w:space="0" w:color="000000"/>
            </w:tcBorders>
            <w:vAlign w:val="center"/>
          </w:tcPr>
          <w:p>
            <w:pPr>
              <w:pStyle w:val="TableContents"/>
              <w:bidi w:val="0"/>
              <w:spacing w:before="0" w:after="0"/>
              <w:jc w:val="center"/>
              <w:rPr>
                <w:spacing w:val="-3"/>
              </w:rPr>
            </w:pPr>
            <w:r>
              <w:rPr>
                <w:spacing w:val="-3"/>
              </w:rPr>
              <w:t xml:space="preserve">Company(s)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4" w:type="dxa"/>
            <w:tcBorders>
              <w:bottom w:val="single" w:sz="2" w:space="0" w:color="000000"/>
            </w:tcBorders>
            <w:vAlign w:val="center"/>
          </w:tcPr>
          <w:p>
            <w:pPr>
              <w:pStyle w:val="TableContents"/>
              <w:bidi w:val="0"/>
              <w:spacing w:before="0" w:after="0"/>
              <w:jc w:val="center"/>
              <w:rPr>
                <w:spacing w:val="-3"/>
              </w:rPr>
            </w:pPr>
            <w:r>
              <w:rPr>
                <w:spacing w:val="-3"/>
              </w:rPr>
              <w:t xml:space="preserve">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96" w:type="dxa"/>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5" w:type="dxa"/>
            <w:tcBorders/>
            <w:tcMar>
              <w:bottom w:w="0" w:type="dxa"/>
            </w:tcMar>
            <w:vAlign w:val="center"/>
          </w:tcPr>
          <w:p>
            <w:pPr>
              <w:pStyle w:val="TableContents"/>
              <w:bidi w:val="0"/>
              <w:spacing w:before="0" w:after="283"/>
              <w:jc w:val="left"/>
              <w:rPr>
                <w:spacing w:val="4"/>
              </w:rPr>
            </w:pPr>
            <w:r>
              <w:rPr>
                <w:spacing w:val="4"/>
              </w:rPr>
              <w:t xml:space="preserve">2010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7" w:type="dxa"/>
            <w:tcBorders/>
            <w:tcMar>
              <w:bottom w:w="0" w:type="dxa"/>
            </w:tcMar>
            <w:vAlign w:val="center"/>
          </w:tcPr>
          <w:p>
            <w:pPr>
              <w:pStyle w:val="TableContents"/>
              <w:bidi w:val="0"/>
              <w:spacing w:before="0" w:after="283"/>
              <w:jc w:val="left"/>
              <w:rPr>
                <w:spacing w:val="4"/>
              </w:rPr>
            </w:pPr>
            <w:r>
              <w:rPr>
                <w:spacing w:val="4"/>
              </w:rPr>
              <w:t xml:space="preserve">Acquisition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2" w:type="dxa"/>
            <w:tcBorders/>
            <w:tcMar>
              <w:bottom w:w="0" w:type="dxa"/>
            </w:tcMar>
            <w:vAlign w:val="center"/>
          </w:tcPr>
          <w:p>
            <w:pPr>
              <w:pStyle w:val="TableContents"/>
              <w:bidi w:val="0"/>
              <w:spacing w:before="0" w:after="0"/>
              <w:jc w:val="both"/>
              <w:rPr>
                <w:spacing w:val="4"/>
              </w:rPr>
            </w:pPr>
            <w:r>
              <w:rPr>
                <w:spacing w:val="4"/>
              </w:rPr>
              <w:t xml:space="preserve">Eagle Ventures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4" w:type="dxa"/>
            <w:tcBorders/>
            <w:tcMar>
              <w:bottom w:w="0" w:type="dxa"/>
            </w:tcMar>
            <w:vAlign w:val="center"/>
          </w:tcPr>
          <w:p>
            <w:pPr>
              <w:pStyle w:val="TableContents"/>
              <w:bidi w:val="0"/>
              <w:spacing w:before="0" w:after="0"/>
              <w:jc w:val="both"/>
              <w:rPr>
                <w:spacing w:val="4"/>
              </w:rPr>
            </w:pPr>
            <w:r>
              <w:rPr>
                <w:spacing w:val="4"/>
              </w:rPr>
              <w:t xml:space="preserve">EVE acquired the project for Uranium One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6" w:type="dxa"/>
            <w:tcBorders/>
            <w:tcMar>
              <w:bottom w:w="0" w:type="dxa"/>
            </w:tcMar>
            <w:vAlign w:val="center"/>
          </w:tcPr>
          <w:p>
            <w:pPr>
              <w:pStyle w:val="TableContents"/>
              <w:bidi w:val="0"/>
              <w:spacing w:before="0" w:after="0"/>
              <w:jc w:val="both"/>
              <w:rPr>
                <w:spacing w:val="4"/>
              </w:rPr>
            </w:pPr>
            <w:r>
              <w:rPr>
                <w:spacing w:val="4"/>
              </w:rPr>
              <w:t xml:space="preserve">EVE Subsequently acquired the project rights from Uranium One Incorporated in 2010. </w:t>
            </w:r>
          </w:p>
        </w:tc>
        <w:tc>
          <w:tcPr>
            <w:tcW w:w="156" w:type="dxa"/>
            <w:tcBorders/>
            <w:tcMar>
              <w:bottom w:w="0" w:type="dxa"/>
            </w:tcMar>
            <w:vAlign w:val="center"/>
          </w:tcPr>
          <w:p>
            <w:pPr>
              <w:pStyle w:val="TableContents"/>
              <w:bidi w:val="0"/>
              <w:spacing w:before="0" w:after="283"/>
              <w:jc w:val="left"/>
              <w:rPr/>
            </w:pPr>
            <w:r>
              <w:rPr/>
              <w:t>​</w:t>
            </w:r>
          </w:p>
        </w:tc>
      </w:tr>
      <w:tr>
        <w:trPr/>
        <w:tc>
          <w:tcPr>
            <w:tcW w:w="655" w:type="dxa"/>
            <w:tcBorders/>
            <w:tcMar>
              <w:bottom w:w="0" w:type="dxa"/>
            </w:tcMar>
            <w:vAlign w:val="center"/>
          </w:tcPr>
          <w:p>
            <w:pPr>
              <w:pStyle w:val="TableContents"/>
              <w:bidi w:val="0"/>
              <w:spacing w:before="0" w:after="283"/>
              <w:jc w:val="left"/>
              <w:rPr>
                <w:spacing w:val="4"/>
              </w:rPr>
            </w:pPr>
            <w:r>
              <w:rPr>
                <w:spacing w:val="4"/>
              </w:rPr>
              <w:t xml:space="preserve">2011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7" w:type="dxa"/>
            <w:tcBorders/>
            <w:tcMar>
              <w:bottom w:w="0" w:type="dxa"/>
            </w:tcMar>
            <w:vAlign w:val="center"/>
          </w:tcPr>
          <w:p>
            <w:pPr>
              <w:pStyle w:val="TableContents"/>
              <w:bidi w:val="0"/>
              <w:spacing w:before="0" w:after="283"/>
              <w:jc w:val="left"/>
              <w:rPr>
                <w:spacing w:val="4"/>
              </w:rPr>
            </w:pPr>
            <w:r>
              <w:rPr>
                <w:spacing w:val="4"/>
              </w:rPr>
              <w:t xml:space="preserve">Drilling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2" w:type="dxa"/>
            <w:tcBorders/>
            <w:tcMar>
              <w:bottom w:w="0" w:type="dxa"/>
            </w:tcMar>
            <w:vAlign w:val="center"/>
          </w:tcPr>
          <w:p>
            <w:pPr>
              <w:pStyle w:val="TableContents"/>
              <w:bidi w:val="0"/>
              <w:spacing w:before="0" w:after="0"/>
              <w:jc w:val="both"/>
              <w:rPr>
                <w:spacing w:val="4"/>
              </w:rPr>
            </w:pPr>
            <w:r>
              <w:rPr>
                <w:spacing w:val="4"/>
              </w:rPr>
              <w:t xml:space="preserve">Eagle Ventures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4" w:type="dxa"/>
            <w:tcBorders/>
            <w:tcMar>
              <w:bottom w:w="0" w:type="dxa"/>
            </w:tcMar>
            <w:vAlign w:val="center"/>
          </w:tcPr>
          <w:p>
            <w:pPr>
              <w:pStyle w:val="TableContents"/>
              <w:bidi w:val="0"/>
              <w:spacing w:before="0" w:after="0"/>
              <w:jc w:val="both"/>
              <w:rPr>
                <w:spacing w:val="4"/>
              </w:rPr>
            </w:pPr>
            <w:r>
              <w:rPr>
                <w:spacing w:val="4"/>
              </w:rPr>
              <w:t xml:space="preserve">Drilled 32 diamond core and 6 RC, updated MRE (JORC 2011)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6" w:type="dxa"/>
            <w:tcBorders/>
            <w:tcMar>
              <w:bottom w:w="0" w:type="dxa"/>
            </w:tcMar>
            <w:vAlign w:val="center"/>
          </w:tcPr>
          <w:p>
            <w:pPr>
              <w:pStyle w:val="TableContents"/>
              <w:bidi w:val="0"/>
              <w:spacing w:before="0" w:after="0"/>
              <w:jc w:val="both"/>
              <w:rPr>
                <w:spacing w:val="4"/>
              </w:rPr>
            </w:pPr>
            <w:r>
              <w:rPr>
                <w:spacing w:val="4"/>
              </w:rPr>
              <w:t xml:space="preserve">Compiled and announced an updated JORC Mineral Resource (January 2011) and drilled 32 diamond core and 6 RC holes as a confirmation/QAQC program and to provide metallurgical sample. </w:t>
            </w:r>
          </w:p>
        </w:tc>
        <w:tc>
          <w:tcPr>
            <w:tcW w:w="156" w:type="dxa"/>
            <w:tcBorders/>
            <w:tcMar>
              <w:bottom w:w="0" w:type="dxa"/>
            </w:tcMar>
            <w:vAlign w:val="center"/>
          </w:tcPr>
          <w:p>
            <w:pPr>
              <w:pStyle w:val="TableContents"/>
              <w:bidi w:val="0"/>
              <w:spacing w:before="0" w:after="283"/>
              <w:jc w:val="left"/>
              <w:rPr/>
            </w:pPr>
            <w:r>
              <w:rPr/>
              <w:t>​</w:t>
            </w:r>
          </w:p>
        </w:tc>
      </w:tr>
      <w:tr>
        <w:trPr/>
        <w:tc>
          <w:tcPr>
            <w:tcW w:w="655" w:type="dxa"/>
            <w:tcBorders/>
            <w:tcMar>
              <w:bottom w:w="0" w:type="dxa"/>
            </w:tcMar>
            <w:vAlign w:val="center"/>
          </w:tcPr>
          <w:p>
            <w:pPr>
              <w:pStyle w:val="TableContents"/>
              <w:bidi w:val="0"/>
              <w:spacing w:before="0" w:after="283"/>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7" w:type="dxa"/>
            <w:tcBorders/>
            <w:tcMar>
              <w:bottom w:w="0" w:type="dxa"/>
            </w:tcMar>
            <w:vAlign w:val="center"/>
          </w:tcPr>
          <w:p>
            <w:pPr>
              <w:pStyle w:val="TableContents"/>
              <w:bidi w:val="0"/>
              <w:spacing w:before="0" w:after="283"/>
              <w:jc w:val="left"/>
              <w:rPr>
                <w:spacing w:val="4"/>
              </w:rPr>
            </w:pPr>
            <w:r>
              <w:rPr>
                <w:spacing w:val="4"/>
              </w:rPr>
              <w:t xml:space="preserve">Acquisition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2" w:type="dxa"/>
            <w:tcBorders/>
            <w:tcMar>
              <w:bottom w:w="0" w:type="dxa"/>
            </w:tcMar>
            <w:vAlign w:val="center"/>
          </w:tcPr>
          <w:p>
            <w:pPr>
              <w:pStyle w:val="TableContents"/>
              <w:bidi w:val="0"/>
              <w:spacing w:before="0" w:after="0"/>
              <w:jc w:val="both"/>
              <w:rPr>
                <w:spacing w:val="4"/>
              </w:rPr>
            </w:pPr>
            <w:r>
              <w:rPr>
                <w:spacing w:val="4"/>
              </w:rPr>
              <w:t xml:space="preserve">Aurora Energy Metals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4" w:type="dxa"/>
            <w:tcBorders/>
            <w:tcMar>
              <w:bottom w:w="0" w:type="dxa"/>
            </w:tcMar>
            <w:vAlign w:val="center"/>
          </w:tcPr>
          <w:p>
            <w:pPr>
              <w:pStyle w:val="TableContents"/>
              <w:bidi w:val="0"/>
              <w:spacing w:before="0" w:after="0"/>
              <w:jc w:val="both"/>
              <w:rPr>
                <w:spacing w:val="4"/>
              </w:rPr>
            </w:pPr>
            <w:r>
              <w:rPr>
                <w:spacing w:val="4"/>
              </w:rPr>
              <w:t xml:space="preserve">Acquisition of the Aurora Project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6" w:type="dxa"/>
            <w:tcBorders/>
            <w:tcMar>
              <w:bottom w:w="0" w:type="dxa"/>
            </w:tcMar>
            <w:vAlign w:val="center"/>
          </w:tcPr>
          <w:p>
            <w:pPr>
              <w:pStyle w:val="TableContents"/>
              <w:bidi w:val="0"/>
              <w:spacing w:before="0" w:after="0"/>
              <w:jc w:val="both"/>
              <w:rPr>
                <w:spacing w:val="4"/>
              </w:rPr>
            </w:pPr>
            <w:r>
              <w:rPr>
                <w:spacing w:val="4"/>
              </w:rPr>
              <w:t xml:space="preserve">Aurora Energy Metals Limited (1AE) —  through its wholly owned subsidiary Oregon Energy LLC). </w:t>
            </w:r>
          </w:p>
        </w:tc>
        <w:tc>
          <w:tcPr>
            <w:tcW w:w="156" w:type="dxa"/>
            <w:tcBorders/>
            <w:tcMar>
              <w:bottom w:w="0" w:type="dxa"/>
            </w:tcMar>
            <w:vAlign w:val="center"/>
          </w:tcPr>
          <w:p>
            <w:pPr>
              <w:pStyle w:val="TableContents"/>
              <w:bidi w:val="0"/>
              <w:spacing w:before="0" w:after="283"/>
              <w:jc w:val="left"/>
              <w:rPr/>
            </w:pPr>
            <w:r>
              <w:rPr/>
              <w:t>​</w:t>
            </w:r>
          </w:p>
        </w:tc>
      </w:tr>
      <w:tr>
        <w:trPr/>
        <w:tc>
          <w:tcPr>
            <w:tcW w:w="655" w:type="dxa"/>
            <w:tcBorders/>
            <w:tcMar>
              <w:bottom w:w="0" w:type="dxa"/>
            </w:tcMar>
            <w:vAlign w:val="center"/>
          </w:tcPr>
          <w:p>
            <w:pPr>
              <w:pStyle w:val="TableContents"/>
              <w:bidi w:val="0"/>
              <w:spacing w:before="0" w:after="283"/>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7" w:type="dxa"/>
            <w:tcBorders/>
            <w:tcMar>
              <w:bottom w:w="0" w:type="dxa"/>
            </w:tcMar>
            <w:vAlign w:val="center"/>
          </w:tcPr>
          <w:p>
            <w:pPr>
              <w:pStyle w:val="TableContents"/>
              <w:bidi w:val="0"/>
              <w:spacing w:before="0" w:after="283"/>
              <w:jc w:val="left"/>
              <w:rPr>
                <w:spacing w:val="4"/>
              </w:rPr>
            </w:pPr>
            <w:r>
              <w:rPr>
                <w:spacing w:val="4"/>
              </w:rPr>
              <w:t xml:space="preserve">Drilling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2" w:type="dxa"/>
            <w:tcBorders/>
            <w:tcMar>
              <w:bottom w:w="0" w:type="dxa"/>
            </w:tcMar>
            <w:vAlign w:val="center"/>
          </w:tcPr>
          <w:p>
            <w:pPr>
              <w:pStyle w:val="TableContents"/>
              <w:bidi w:val="0"/>
              <w:spacing w:before="0" w:after="0"/>
              <w:jc w:val="both"/>
              <w:rPr>
                <w:spacing w:val="4"/>
              </w:rPr>
            </w:pPr>
            <w:r>
              <w:rPr>
                <w:spacing w:val="4"/>
              </w:rPr>
              <w:t xml:space="preserve">Aurora Energy Metals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4" w:type="dxa"/>
            <w:tcBorders/>
            <w:tcMar>
              <w:bottom w:w="0" w:type="dxa"/>
            </w:tcMar>
            <w:vAlign w:val="center"/>
          </w:tcPr>
          <w:p>
            <w:pPr>
              <w:pStyle w:val="TableContents"/>
              <w:bidi w:val="0"/>
              <w:spacing w:before="0" w:after="0"/>
              <w:jc w:val="both"/>
              <w:rPr/>
            </w:pPr>
            <w:r>
              <w:rPr>
                <w:spacing w:val="4"/>
              </w:rPr>
              <w:t xml:space="preserve">Drilled </w:t>
            </w:r>
            <w:r>
              <w:rPr>
                <w:i/>
                <w:spacing w:val="4"/>
              </w:rPr>
              <w:t>5</w:t>
            </w:r>
            <w:r>
              <w:rPr>
                <w:spacing w:val="4"/>
              </w:rPr>
              <w:t xml:space="preserve"> diamond core and 12 RC holes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6" w:type="dxa"/>
            <w:tcBorders/>
            <w:tcMar>
              <w:bottom w:w="0" w:type="dxa"/>
            </w:tcMar>
            <w:vAlign w:val="center"/>
          </w:tcPr>
          <w:p>
            <w:pPr>
              <w:pStyle w:val="TableContents"/>
              <w:bidi w:val="0"/>
              <w:spacing w:before="0" w:after="0"/>
              <w:jc w:val="both"/>
              <w:rPr/>
            </w:pPr>
            <w:r>
              <w:rPr>
                <w:spacing w:val="4"/>
              </w:rPr>
              <w:t>1AE announced an updated JORC Mineral Resource (November 2022) completed 17 holes totaling 11,201 feet (3,414 meters).</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Century Geophysical completed historic geophysical data acquisition for Placer. Placer geologists collected check assays from diamond core drillholes and submitted them to commercial labs for analysis (Myers, 2005).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Procedures followed by these companies at the time are well documented and it is believed that they followed industry best practices at the time for data collection.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2011 downhole geophysical data acquisition was also completed by Century Wirelines Services under contract to Eagle Ventures Limited (“EVE”) with results transferred directly to EVE personnel electronically. Samples from all diamond core and some RC drillholes were collected by EVE geologists and submitted to ISO commercial laboratories for analysis including American Assay Laboratories Inc. (“AAL”), Acme Analytical Laboratories (“Acme”) and ALS Global (“ALS”).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2022 data acquisition by Aurora Energy followed the same process, Century Wirelines performed the downhole geophysical acquisition, and samples from the 2022 drilling were collected by Aurora Energy geologists and submitted to AAL for analysis.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Historically, downhole gamma data was collected and converted on site, thereby limiting possible tampering or contamination. Detailed logs and assay results exist in the hardcopy archive. All EVE samples collected in 2011 were transported directly from the drill site to AAL in Reno by EVE geologists and field crew. All samples collected in 2022 were transported directly to AAL in Reno from the drill site by Aurora Energy geologist and field crew.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Historical drilling samples and core from the Jacobs/Placer days, as far as New Eagle is aware, no longer exist. Remaining sample pulps and core (that was not removed for metallurgical testwork purposes) from the EVE 2011 and Aurora Energy 2022 drilling are stored on site in two weatherproof shipping containers at a property in McDermitt.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sampling and assay procedures by historical companies are considered appropriate.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hardcopy database included approximately 43 archive boxes full of reports and drill logs as provided by Uranium One Incorporated to EVE in May 2010. An Access database was supplied by Uranium One at the time of the project acquisition by EVE using data sourced from historical drilling. No quality control data has been supplied for independent analysis.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 hole coordinates have been checked against plan maps. However, accuracy and quality of surveys (i.e., use of surveyors with theodolite or similar) used to locate drillholes has not been reported in these logs. All holes, with the exception of six, were drilled vertically. The dip/azimuth of the inclined holes was checked against hardcopy logs.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Assays were initially checked by (Myers, 2005) and validated by BBA, as follows: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percentage of eU</w:t>
      </w:r>
      <w:r>
        <w:rPr>
          <w:rFonts w:ascii="Times New Roman;Times;serif" w:hAnsi="Times New Roman;Times;serif"/>
          <w:b w:val="false"/>
          <w:i w:val="false"/>
          <w:caps w:val="false"/>
          <w:smallCaps w:val="false"/>
          <w:color w:val="000000"/>
          <w:spacing w:val="3"/>
          <w:sz w:val="15"/>
        </w:rPr>
        <w:t>3</w:t>
      </w:r>
      <w:r>
        <w:rPr>
          <w:rFonts w:ascii="Times New Roman;Times;serif" w:hAnsi="Times New Roman;Times;serif"/>
          <w:b w:val="false"/>
          <w:i w:val="false"/>
          <w:caps w:val="false"/>
          <w:smallCaps w:val="false"/>
          <w:color w:val="000000"/>
          <w:spacing w:val="4"/>
          <w:sz w:val="20"/>
        </w:rPr>
        <w:t>O</w:t>
      </w:r>
      <w:r>
        <w:rPr>
          <w:rFonts w:ascii="Times New Roman;Times;serif" w:hAnsi="Times New Roman;Times;serif"/>
          <w:b w:val="false"/>
          <w:i w:val="false"/>
          <w:caps w:val="false"/>
          <w:smallCaps w:val="false"/>
          <w:color w:val="000000"/>
          <w:spacing w:val="3"/>
          <w:sz w:val="15"/>
        </w:rPr>
        <w:t>8</w:t>
      </w:r>
      <w:r>
        <w:rPr>
          <w:rFonts w:ascii="Times New Roman;Times;serif" w:hAnsi="Times New Roman;Times;serif"/>
          <w:b w:val="false"/>
          <w:i w:val="false"/>
          <w:caps w:val="false"/>
          <w:smallCaps w:val="false"/>
          <w:color w:val="000000"/>
          <w:spacing w:val="4"/>
          <w:sz w:val="20"/>
        </w:rPr>
        <w:t xml:space="preserve"> contained in drillholes was calculated from the downhole gamma logs by Century Geophysical at the time of the drilling and surveys. Original data was collected on 0.1 feet intervals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converted to eU</w:t>
      </w:r>
      <w:r>
        <w:rPr>
          <w:rFonts w:ascii="Times New Roman;Times;serif" w:hAnsi="Times New Roman;Times;serif"/>
          <w:b w:val="false"/>
          <w:i w:val="false"/>
          <w:caps w:val="false"/>
          <w:smallCaps w:val="false"/>
          <w:color w:val="000000"/>
          <w:spacing w:val="3"/>
          <w:sz w:val="15"/>
        </w:rPr>
        <w:t>3</w:t>
      </w:r>
      <w:r>
        <w:rPr>
          <w:rFonts w:ascii="Times New Roman;Times;serif" w:hAnsi="Times New Roman;Times;serif"/>
          <w:b w:val="false"/>
          <w:i w:val="false"/>
          <w:caps w:val="false"/>
          <w:smallCaps w:val="false"/>
          <w:color w:val="000000"/>
          <w:spacing w:val="4"/>
          <w:sz w:val="20"/>
        </w:rPr>
        <w:t>O</w:t>
      </w:r>
      <w:r>
        <w:rPr>
          <w:rFonts w:ascii="Times New Roman;Times;serif" w:hAnsi="Times New Roman;Times;serif"/>
          <w:b w:val="false"/>
          <w:i w:val="false"/>
          <w:caps w:val="false"/>
          <w:smallCaps w:val="false"/>
          <w:color w:val="000000"/>
          <w:spacing w:val="3"/>
          <w:sz w:val="15"/>
        </w:rPr>
        <w:t>8</w:t>
      </w:r>
      <w:r>
        <w:rPr>
          <w:rFonts w:ascii="Times New Roman;Times;serif" w:hAnsi="Times New Roman;Times;serif"/>
          <w:b w:val="false"/>
          <w:i w:val="false"/>
          <w:caps w:val="false"/>
          <w:smallCaps w:val="false"/>
          <w:color w:val="000000"/>
          <w:spacing w:val="4"/>
          <w:sz w:val="20"/>
        </w:rPr>
        <w:t>%. The converted values were then compiled on 2, 5-, 10-, 15-, and 20-feet intervals. The data available for this analysis were the original gamma logs and the 5 feet U</w:t>
      </w:r>
      <w:r>
        <w:rPr>
          <w:rFonts w:ascii="Times New Roman;Times;serif" w:hAnsi="Times New Roman;Times;serif"/>
          <w:b w:val="false"/>
          <w:i w:val="false"/>
          <w:caps w:val="false"/>
          <w:smallCaps w:val="false"/>
          <w:color w:val="000000"/>
          <w:spacing w:val="3"/>
          <w:sz w:val="15"/>
        </w:rPr>
        <w:t>3</w:t>
      </w:r>
      <w:r>
        <w:rPr>
          <w:rFonts w:ascii="Times New Roman;Times;serif" w:hAnsi="Times New Roman;Times;serif"/>
          <w:b w:val="false"/>
          <w:i w:val="false"/>
          <w:caps w:val="false"/>
          <w:smallCaps w:val="false"/>
          <w:color w:val="000000"/>
          <w:spacing w:val="4"/>
          <w:sz w:val="20"/>
        </w:rPr>
        <w:t>O</w:t>
      </w:r>
      <w:r>
        <w:rPr>
          <w:rFonts w:ascii="Times New Roman;Times;serif" w:hAnsi="Times New Roman;Times;serif"/>
          <w:b w:val="false"/>
          <w:i w:val="false"/>
          <w:caps w:val="false"/>
          <w:smallCaps w:val="false"/>
          <w:color w:val="000000"/>
          <w:spacing w:val="3"/>
          <w:sz w:val="15"/>
        </w:rPr>
        <w:t>8</w:t>
      </w:r>
      <w:r>
        <w:rPr>
          <w:rFonts w:ascii="Times New Roman;Times;serif" w:hAnsi="Times New Roman;Times;serif"/>
          <w:b w:val="false"/>
          <w:i w:val="false"/>
          <w:caps w:val="false"/>
          <w:smallCaps w:val="false"/>
          <w:color w:val="000000"/>
          <w:spacing w:val="4"/>
          <w:sz w:val="20"/>
        </w:rPr>
        <w:t xml:space="preserve">% composites. The original logs and 5 feet composites were compared to verify the values and there is a reasonable correlation in values. The 5 feet composites were double entered into an ACCESS database along with collar location data. The double entry data had less than 1% entry error and the current database is estimated to be error free. Further verification and correction of the data was completed during sectional interpretations. Several original gamma logs were re-run at the time of drilling as checks and the results were very similar to the original logs. Core and chip samples from the original drilling are not available for check assays.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original downhole gamma logs have been reviewed in detail. Rotary chip samples apparently were not collected, or were discarded, and the diamond core samples were not preserved after Placer terminated the project and therefore it has not been possible to confirm assay values in comparison to gamma log estimations. Drillholes from the 1977-1979 program were not cased or capped and it is not possible to re-enter any drillholes in order to re-survey drillholes.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position of the mineralized horizons was checked on the original logs to confirm the agreement of the original Century Geophysical logs and the 5 feet composite database generated by Placer. Data which did not agree between the two data sets were corrected where possible or were omitted from the resource evaluation when the data could not be confirmed.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June 2025, BBA conducted a site visit to the project as part of the MRE update. The site visit was also attended by New Eagle staff and on-site geologists, and included the following tasks: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of select drill core, representative of the geology and mineralization on site. </w:t>
      </w:r>
      <w:r>
        <mc:AlternateContent>
          <mc:Choice Requires="wps">
            <w:drawing>
              <wp:anchor behindDoc="0" distT="9144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3"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Site visit to the Aurora Deposit where drill collars were located where possible. Due to rehabilitation requirements on site, drill collar locations are marked by wooden markers with drillhole identification numbers written. Eleven drillholes were found during the site visit and recorded by GPS to verify against the provided database. </w:t>
      </w:r>
      <w:r>
        <mc:AlternateContent>
          <mc:Choice Requires="wps">
            <w:drawing>
              <wp:anchor behindDoc="0" distT="9144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4"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BBA’s opinion that the geological data collection and quality assurance/quality control procedures used by previous operators are consistent with industry practices at the time and that the geological database is of suitable quality to support the mineral resource estimates.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Processing Method and Products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this time, New Eagle has neither determined a processing method nor the products that it intends to manufacture. New Eagle has not yet performed any processing-related test work at the Aurora project.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Recommended Work Program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recommended work programs to advance the project to the next stage are broken down into two phases, Phase 1 budget is approximately $3 million and Phase 2 budget is approximately $7 million. The budget for recommended work is summarized in the table below: </w:t>
      </w:r>
    </w:p>
    <w:tbl>
      <w:tblPr>
        <w:tblW w:w="8812" w:type="dxa"/>
        <w:jc w:val="left"/>
        <w:tblInd w:w="1393" w:type="dxa"/>
        <w:tblLayout w:type="fixed"/>
        <w:tblCellMar>
          <w:top w:w="0" w:type="dxa"/>
          <w:left w:w="0" w:type="dxa"/>
          <w:bottom w:w="50" w:type="dxa"/>
          <w:right w:w="0" w:type="dxa"/>
        </w:tblCellMar>
      </w:tblPr>
      <w:tblGrid>
        <w:gridCol w:w="4932"/>
        <w:gridCol w:w="109"/>
        <w:gridCol w:w="109"/>
        <w:gridCol w:w="1764"/>
        <w:gridCol w:w="109"/>
        <w:gridCol w:w="109"/>
        <w:gridCol w:w="109"/>
        <w:gridCol w:w="228"/>
        <w:gridCol w:w="1077"/>
        <w:gridCol w:w="109"/>
        <w:gridCol w:w="157"/>
      </w:tblGrid>
      <w:tr>
        <w:trPr/>
        <w:tc>
          <w:tcPr>
            <w:tcW w:w="4932" w:type="dxa"/>
            <w:tcBorders>
              <w:bottom w:val="single" w:sz="2" w:space="0" w:color="000000"/>
            </w:tcBorders>
            <w:vAlign w:val="center"/>
          </w:tcPr>
          <w:p>
            <w:pPr>
              <w:pStyle w:val="TableContents"/>
              <w:bidi w:val="0"/>
              <w:spacing w:before="0" w:after="0"/>
              <w:jc w:val="left"/>
              <w:rPr>
                <w:spacing w:val="-3"/>
              </w:rPr>
            </w:pPr>
            <w:r>
              <w:rPr>
                <w:spacing w:val="-3"/>
              </w:rPr>
              <w:t xml:space="preserve">Task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4" w:type="dxa"/>
            <w:tcBorders>
              <w:bottom w:val="single" w:sz="2" w:space="0" w:color="000000"/>
            </w:tcBorders>
            <w:vAlign w:val="center"/>
          </w:tcPr>
          <w:p>
            <w:pPr>
              <w:pStyle w:val="TableContents"/>
              <w:bidi w:val="0"/>
              <w:spacing w:before="0" w:after="0"/>
              <w:jc w:val="center"/>
              <w:rPr>
                <w:spacing w:val="-3"/>
              </w:rPr>
            </w:pPr>
            <w:r>
              <w:rPr>
                <w:spacing w:val="-3"/>
              </w:rPr>
              <w:t xml:space="preserve">Unit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Budget (USD)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932" w:type="dxa"/>
            <w:tcBorders/>
            <w:shd w:fill="CCEEFF" w:val="clear"/>
            <w:tcMar>
              <w:bottom w:w="0" w:type="dxa"/>
            </w:tcMar>
            <w:vAlign w:val="center"/>
          </w:tcPr>
          <w:p>
            <w:pPr>
              <w:pStyle w:val="TableContents"/>
              <w:bidi w:val="0"/>
              <w:spacing w:before="0" w:after="283"/>
              <w:jc w:val="left"/>
              <w:rPr/>
            </w:pPr>
            <w:r>
              <w:rPr>
                <w:spacing w:val="-4"/>
              </w:rPr>
              <w:t>Phase 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07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932"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Exploration Drilling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127000" cy="350520"/>
                      <wp:effectExtent l="0" t="0" r="0" b="0"/>
                      <wp:wrapSquare wrapText="right"/>
                      <wp:docPr id="145"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4" w:type="dxa"/>
            <w:tcBorders/>
            <w:tcMar>
              <w:bottom w:w="0" w:type="dxa"/>
            </w:tcMar>
            <w:vAlign w:val="center"/>
          </w:tcPr>
          <w:p>
            <w:pPr>
              <w:pStyle w:val="TableContents"/>
              <w:bidi w:val="0"/>
              <w:spacing w:before="0" w:after="0"/>
              <w:jc w:val="center"/>
              <w:rPr>
                <w:spacing w:val="4"/>
              </w:rPr>
            </w:pPr>
            <w:r>
              <w:rPr>
                <w:spacing w:val="4"/>
              </w:rPr>
              <w:t xml:space="preserve">25 holes – 4,000 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077" w:type="dxa"/>
            <w:tcBorders/>
            <w:tcMar>
              <w:bottom w:w="0" w:type="dxa"/>
            </w:tcMar>
            <w:vAlign w:val="center"/>
          </w:tcPr>
          <w:p>
            <w:pPr>
              <w:pStyle w:val="TableContents"/>
              <w:bidi w:val="0"/>
              <w:spacing w:before="0" w:after="283"/>
              <w:jc w:val="right"/>
              <w:rPr/>
            </w:pPr>
            <w:r>
              <w:rPr/>
              <w:t>1,400,000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932" w:type="dxa"/>
            <w:tcBorders/>
            <w:shd w:fill="CCEEFF" w:val="clear"/>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Metallurgical Testing </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127000" cy="350520"/>
                      <wp:effectExtent l="0" t="0" r="0" b="0"/>
                      <wp:wrapSquare wrapText="right"/>
                      <wp:docPr id="146"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4" w:type="dxa"/>
            <w:tcBorders/>
            <w:shd w:fill="CCEEFF" w:val="clear"/>
            <w:tcMar>
              <w:bottom w:w="0" w:type="dxa"/>
            </w:tcMar>
            <w:vAlign w:val="center"/>
          </w:tcPr>
          <w:p>
            <w:pPr>
              <w:pStyle w:val="TableContents"/>
              <w:bidi w:val="0"/>
              <w:spacing w:before="0" w:after="0"/>
              <w:jc w:val="center"/>
              <w:rPr>
                <w:spacing w:val="4"/>
              </w:rPr>
            </w:pPr>
            <w:r>
              <w:rPr>
                <w:spacing w:val="4"/>
              </w:rPr>
              <w:t xml:space="preserve">3 composites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077"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932"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Hydrogeology </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127000" cy="350520"/>
                      <wp:effectExtent l="0" t="0" r="0" b="0"/>
                      <wp:wrapSquare wrapText="right"/>
                      <wp:docPr id="147"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4" w:type="dxa"/>
            <w:tcBorders/>
            <w:tcMar>
              <w:bottom w:w="0" w:type="dxa"/>
            </w:tcMar>
            <w:vAlign w:val="center"/>
          </w:tcPr>
          <w:p>
            <w:pPr>
              <w:pStyle w:val="TableContents"/>
              <w:bidi w:val="0"/>
              <w:spacing w:before="0" w:after="0"/>
              <w:jc w:val="center"/>
              <w:rPr>
                <w:spacing w:val="4"/>
              </w:rPr>
            </w:pPr>
            <w:r>
              <w:rPr>
                <w:spacing w:val="4"/>
              </w:rPr>
              <w:t xml:space="preserve">1 study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077"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932" w:type="dxa"/>
            <w:tcBorders/>
            <w:shd w:fill="CCEEFF" w:val="clear"/>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Rock Mechanics </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127000" cy="350520"/>
                      <wp:effectExtent l="0" t="0" r="0" b="0"/>
                      <wp:wrapSquare wrapText="right"/>
                      <wp:docPr id="148"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4" w:type="dxa"/>
            <w:tcBorders/>
            <w:shd w:fill="CCEEFF" w:val="clear"/>
            <w:tcMar>
              <w:bottom w:w="0" w:type="dxa"/>
            </w:tcMar>
            <w:vAlign w:val="center"/>
          </w:tcPr>
          <w:p>
            <w:pPr>
              <w:pStyle w:val="TableContents"/>
              <w:bidi w:val="0"/>
              <w:spacing w:before="0" w:after="0"/>
              <w:jc w:val="center"/>
              <w:rPr>
                <w:spacing w:val="4"/>
              </w:rPr>
            </w:pPr>
            <w:r>
              <w:rPr>
                <w:spacing w:val="4"/>
              </w:rPr>
              <w:t xml:space="preserve">1 study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077" w:type="dxa"/>
            <w:tcBorders/>
            <w:shd w:fill="CCEEFF" w:val="clear"/>
            <w:tcMar>
              <w:bottom w:w="0" w:type="dxa"/>
            </w:tcMar>
            <w:vAlign w:val="center"/>
          </w:tcPr>
          <w:p>
            <w:pPr>
              <w:pStyle w:val="TableContents"/>
              <w:bidi w:val="0"/>
              <w:spacing w:before="0" w:after="283"/>
              <w:jc w:val="right"/>
              <w:rPr/>
            </w:pPr>
            <w:r>
              <w:rPr/>
              <w:t>200,000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932" w:type="dxa"/>
            <w:tcBorders/>
            <w:tcMar>
              <w:bottom w:w="0" w:type="dxa"/>
            </w:tcMar>
            <w:vAlign w:val="center"/>
          </w:tcPr>
          <w:p>
            <w:pPr>
              <w:pStyle w:val="TableContents"/>
              <w:bidi w:val="0"/>
              <w:spacing w:before="0" w:after="283"/>
              <w:jc w:val="left"/>
              <w:rPr/>
            </w:pPr>
            <w:r>
              <w:rPr>
                <w:spacing w:val="-4"/>
              </w:rPr>
              <w:t>Total – Phase 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077" w:type="dxa"/>
            <w:tcBorders/>
            <w:tcMar>
              <w:bottom w:w="0" w:type="dxa"/>
            </w:tcMar>
            <w:vAlign w:val="center"/>
          </w:tcPr>
          <w:p>
            <w:pPr>
              <w:pStyle w:val="TableContents"/>
              <w:bidi w:val="0"/>
              <w:spacing w:before="0" w:after="283"/>
              <w:jc w:val="right"/>
              <w:rPr/>
            </w:pPr>
            <w:r>
              <w:rPr/>
              <w:t>3,000,000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932" w:type="dxa"/>
            <w:tcBorders/>
            <w:shd w:fill="CCEEFF" w:val="clear"/>
            <w:tcMar>
              <w:bottom w:w="0" w:type="dxa"/>
            </w:tcMar>
            <w:vAlign w:val="center"/>
          </w:tcPr>
          <w:p>
            <w:pPr>
              <w:pStyle w:val="TableContents"/>
              <w:bidi w:val="0"/>
              <w:spacing w:before="0" w:after="283"/>
              <w:jc w:val="left"/>
              <w:rPr/>
            </w:pPr>
            <w:r>
              <w:rPr>
                <w:spacing w:val="-4"/>
              </w:rPr>
              <w:t>Phase 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07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932"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Prefeasibility Study &amp; S-K 1300 Technical Report Summary </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127000" cy="350520"/>
                      <wp:effectExtent l="0" t="0" r="0" b="0"/>
                      <wp:wrapSquare wrapText="right"/>
                      <wp:docPr id="149"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4" w:type="dxa"/>
            <w:tcBorders/>
            <w:tcMar>
              <w:bottom w:w="0" w:type="dxa"/>
            </w:tcMar>
            <w:vAlign w:val="center"/>
          </w:tcPr>
          <w:p>
            <w:pPr>
              <w:pStyle w:val="TableContents"/>
              <w:bidi w:val="0"/>
              <w:spacing w:before="0" w:after="0"/>
              <w:jc w:val="center"/>
              <w:rPr>
                <w:spacing w:val="4"/>
              </w:rPr>
            </w:pPr>
            <w:r>
              <w:rPr>
                <w:spacing w:val="4"/>
              </w:rPr>
              <w:t xml:space="preserve">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077" w:type="dxa"/>
            <w:tcBorders/>
            <w:tcMar>
              <w:bottom w:w="0" w:type="dxa"/>
            </w:tcMar>
            <w:vAlign w:val="center"/>
          </w:tcPr>
          <w:p>
            <w:pPr>
              <w:pStyle w:val="TableContents"/>
              <w:bidi w:val="0"/>
              <w:spacing w:before="0" w:after="283"/>
              <w:jc w:val="right"/>
              <w:rPr/>
            </w:pPr>
            <w:r>
              <w:rPr/>
              <w:t>7,000,000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195" w:type="dxa"/>
        <w:jc w:val="left"/>
        <w:tblInd w:w="1393" w:type="dxa"/>
        <w:tblLayout w:type="fixed"/>
        <w:tblCellMar>
          <w:top w:w="0" w:type="dxa"/>
          <w:left w:w="0" w:type="dxa"/>
          <w:bottom w:w="50" w:type="dxa"/>
          <w:right w:w="0" w:type="dxa"/>
        </w:tblCellMar>
      </w:tblPr>
      <w:tblGrid>
        <w:gridCol w:w="2497"/>
        <w:gridCol w:w="109"/>
        <w:gridCol w:w="109"/>
        <w:gridCol w:w="577"/>
        <w:gridCol w:w="109"/>
        <w:gridCol w:w="109"/>
        <w:gridCol w:w="110"/>
        <w:gridCol w:w="229"/>
        <w:gridCol w:w="1082"/>
        <w:gridCol w:w="110"/>
        <w:gridCol w:w="154"/>
      </w:tblGrid>
      <w:tr>
        <w:trPr/>
        <w:tc>
          <w:tcPr>
            <w:tcW w:w="2497" w:type="dxa"/>
            <w:tcBorders>
              <w:bottom w:val="single" w:sz="2" w:space="0" w:color="000000"/>
            </w:tcBorders>
            <w:vAlign w:val="center"/>
          </w:tcPr>
          <w:p>
            <w:pPr>
              <w:pStyle w:val="TableContents"/>
              <w:bidi w:val="0"/>
              <w:spacing w:before="0" w:after="0"/>
              <w:jc w:val="left"/>
              <w:rPr>
                <w:spacing w:val="-3"/>
              </w:rPr>
            </w:pPr>
            <w:r>
              <w:rPr>
                <w:spacing w:val="-3"/>
              </w:rPr>
              <w:t xml:space="preserve">Task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7" w:type="dxa"/>
            <w:tcBorders>
              <w:bottom w:val="single" w:sz="2" w:space="0" w:color="000000"/>
            </w:tcBorders>
            <w:vAlign w:val="center"/>
          </w:tcPr>
          <w:p>
            <w:pPr>
              <w:pStyle w:val="TableContents"/>
              <w:bidi w:val="0"/>
              <w:spacing w:before="0" w:after="0"/>
              <w:jc w:val="center"/>
              <w:rPr>
                <w:spacing w:val="-3"/>
              </w:rPr>
            </w:pPr>
            <w:r>
              <w:rPr>
                <w:spacing w:val="-3"/>
              </w:rPr>
              <w:t xml:space="preserve">Unit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Budget (USD)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97" w:type="dxa"/>
            <w:tcBorders/>
            <w:shd w:fill="CCEEFF" w:val="clear"/>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Mine Design </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127000" cy="350520"/>
                      <wp:effectExtent l="0" t="0" r="0" b="0"/>
                      <wp:wrapSquare wrapText="right"/>
                      <wp:docPr id="150"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082"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7"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Process Flow Sheet </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127000" cy="350520"/>
                      <wp:effectExtent l="0" t="0" r="0" b="0"/>
                      <wp:wrapSquare wrapText="right"/>
                      <wp:docPr id="151"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082"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7" w:type="dxa"/>
            <w:tcBorders/>
            <w:shd w:fill="CCEEFF" w:val="clear"/>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Surface Infrastructure </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127000" cy="350520"/>
                      <wp:effectExtent l="0" t="0" r="0" b="0"/>
                      <wp:wrapSquare wrapText="right"/>
                      <wp:docPr id="152"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082"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7"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Tailings Design </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127000" cy="350520"/>
                      <wp:effectExtent l="0" t="0" r="0" b="0"/>
                      <wp:wrapSquare wrapText="right"/>
                      <wp:docPr id="153"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082"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7" w:type="dxa"/>
            <w:tcBorders/>
            <w:shd w:fill="CCEEFF" w:val="clear"/>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Environment </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127000" cy="350520"/>
                      <wp:effectExtent l="0" t="0" r="0" b="0"/>
                      <wp:wrapSquare wrapText="right"/>
                      <wp:docPr id="154"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082"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97"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Financials Analysis </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127000" cy="350520"/>
                      <wp:effectExtent l="0" t="0" r="0" b="0"/>
                      <wp:wrapSquare wrapText="right"/>
                      <wp:docPr id="155"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082"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97" w:type="dxa"/>
            <w:tcBorders/>
            <w:shd w:fill="CCEEFF" w:val="clear"/>
            <w:tcMar>
              <w:bottom w:w="0" w:type="dxa"/>
            </w:tcMar>
            <w:vAlign w:val="center"/>
          </w:tcPr>
          <w:p>
            <w:pPr>
              <w:pStyle w:val="TableContents"/>
              <w:bidi w:val="0"/>
              <w:spacing w:before="0" w:after="283"/>
              <w:jc w:val="left"/>
              <w:rPr/>
            </w:pPr>
            <w:r>
              <w:rPr>
                <w:spacing w:val="-4"/>
              </w:rPr>
              <w:t>Total – Phase 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082" w:type="dxa"/>
            <w:tcBorders/>
            <w:shd w:fill="CCEEFF" w:val="clear"/>
            <w:tcMar>
              <w:bottom w:w="0" w:type="dxa"/>
            </w:tcMar>
            <w:vAlign w:val="center"/>
          </w:tcPr>
          <w:p>
            <w:pPr>
              <w:pStyle w:val="TableContents"/>
              <w:bidi w:val="0"/>
              <w:spacing w:before="0" w:after="283"/>
              <w:jc w:val="right"/>
              <w:rPr/>
            </w:pPr>
            <w:r>
              <w:rPr/>
              <w:t>7,000,000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7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Phase 1 budget is focused on the collection of geological data to support future engineering studies. Phase 2 is dependent on the results of the Phase 1 program.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Cordex Zone</w:t>
      </w:r>
      <w:r>
        <w:rPr>
          <w:rFonts w:ascii="Times New Roman;Times;serif" w:hAnsi="Times New Roman;Times;serif"/>
          <w:b/>
          <w:i/>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038600" cy="2324100"/>
            <wp:effectExtent l="0" t="0" r="0" b="0"/>
            <wp:docPr id="15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4" descr=""/>
                    <pic:cNvPicPr>
                      <a:picLocks noChangeAspect="1" noChangeArrowheads="1"/>
                    </pic:cNvPicPr>
                  </pic:nvPicPr>
                  <pic:blipFill>
                    <a:blip r:embed="rId5"/>
                    <a:stretch>
                      <a:fillRect/>
                    </a:stretch>
                  </pic:blipFill>
                  <pic:spPr bwMode="auto">
                    <a:xfrm>
                      <a:off x="0" y="0"/>
                      <a:ext cx="4038600" cy="2324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7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Aurora deposit, New Eagle holds the rights to acquire an additional deposit in the Cordex Zone. The Cordex Zone is positioned immediately northeast of the Aurora deposit across a graben fault, and its location on the existing land package represents a high-impact growth opportunity for New Eagle. Preliminary geological estimates indicate the potential that, with additional exploration, the Cordex Zone could significantly expand New Eagle’s already substantial domestic resource base. An additional 110 diamond drill and reverse circulation holes totaling 71,822 meters have been on the Cordex claims. New Eagle is actively digitizing this data set, including original chemical assay logs, to fast-track resource modeling and integration with the Aurora development plan. The mineralization identified on the Cordex claims requires additional drilling to support any future mineral resource estimation. By leveraging existing data and shared infrastructure, the Cordex Zone offers the potential for rapid, low-cost resource definition that could materially enhance mine life, production scale, and shareholder value. We believe the Cordex Zone offers a number of key attributes that make the deposit attractive for investment, including: </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High Upside Potential Adjacent to Aurora.   </w:t>
      </w:r>
      <w:r>
        <w:rPr>
          <w:rFonts w:ascii="Times New Roman;Times;serif" w:hAnsi="Times New Roman;Times;serif"/>
          <w:b w:val="false"/>
          <w:i w:val="false"/>
          <w:caps w:val="false"/>
          <w:smallCaps w:val="false"/>
          <w:color w:val="000000"/>
          <w:spacing w:val="4"/>
          <w:sz w:val="20"/>
        </w:rPr>
        <w:t xml:space="preserve">The Cordex Zone lies immediately adjacent to Aurora, offering significant resource expansion upside. Historical drilling by previous operators (over 100 holes) has already outlined multiple uranium intercepts in the area, suggesting a compelling opportunity to build on Aurora’s footprint. By leveraging shared infrastructure and permitting, we believe Cordex represents a highly accretive extension of the current project. Historic preserved drill hole logs and chemical assay logs are now being digitized to fast-track resource modeling. </w:t>
      </w:r>
      <w:r>
        <mc:AlternateContent>
          <mc:Choice Requires="wps">
            <w:drawing>
              <wp:anchor behindDoc="0" distT="8128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7"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History of Structured Exploration.   </w:t>
      </w:r>
      <w:r>
        <w:rPr>
          <w:rFonts w:ascii="Times New Roman;Times;serif" w:hAnsi="Times New Roman;Times;serif"/>
          <w:b w:val="false"/>
          <w:i w:val="false"/>
          <w:caps w:val="false"/>
          <w:smallCaps w:val="false"/>
          <w:color w:val="000000"/>
          <w:spacing w:val="4"/>
          <w:sz w:val="20"/>
        </w:rPr>
        <w:t xml:space="preserve">Between 1978 and 1980, previous operators completed over 100 reverse-circulation and diamond drill holes on claims adjacent to Aurora. While the Aurora project has incorporated more recent drilling, these older logs remain valuable for outlining structure and intercepts at Cordex, guiding efficient follow-up exploration. </w:t>
      </w:r>
      <w:r>
        <mc:AlternateContent>
          <mc:Choice Requires="wps">
            <w:drawing>
              <wp:anchor behindDoc="0" distT="8128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8"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Accessible Host Geology in the Same System.   </w:t>
      </w:r>
      <w:r>
        <w:rPr>
          <w:rFonts w:ascii="Times New Roman;Times;serif" w:hAnsi="Times New Roman;Times;serif"/>
          <w:b w:val="false"/>
          <w:i w:val="false"/>
          <w:caps w:val="false"/>
          <w:smallCaps w:val="false"/>
          <w:color w:val="000000"/>
          <w:spacing w:val="4"/>
          <w:sz w:val="20"/>
        </w:rPr>
        <w:t xml:space="preserve">Cordex lies within the same proven stratigraphic and volcanic system as the main Aurora deposit. This geological continuity enhances predictability and exploration targeting, drawing on well-understood models from Aurora. </w:t>
      </w:r>
      <w:r>
        <mc:AlternateContent>
          <mc:Choice Requires="wps">
            <w:drawing>
              <wp:anchor behindDoc="0" distT="0" distB="0" distL="254000" distR="0" simplePos="0" locked="0" layoutInCell="1" allowOverlap="1" relativeHeight="163">
                <wp:simplePos x="0" y="0"/>
                <wp:positionH relativeFrom="column">
                  <wp:align>left</wp:align>
                </wp:positionH>
                <wp:positionV relativeFrom="line">
                  <wp:posOffset>635</wp:posOffset>
                </wp:positionV>
                <wp:extent cx="127000" cy="350520"/>
                <wp:effectExtent l="0" t="0" r="0" b="0"/>
                <wp:wrapSquare wrapText="right"/>
                <wp:docPr id="159"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Infrastructure Synergies Reduce Development Risk.   </w:t>
      </w:r>
      <w:r>
        <w:rPr>
          <w:rFonts w:ascii="Times New Roman;Times;serif" w:hAnsi="Times New Roman;Times;serif"/>
          <w:b w:val="false"/>
          <w:i w:val="false"/>
          <w:caps w:val="false"/>
          <w:smallCaps w:val="false"/>
          <w:color w:val="000000"/>
          <w:spacing w:val="4"/>
          <w:sz w:val="20"/>
        </w:rPr>
        <w:t xml:space="preserve">By virtue of its proximity, Cordex benefits from Aurora’s existing infrastructure planning, access roads, permitting footprint, and processing options. This alignment allows for streamlined logistics, permitting efficiencies, and cost-sharing in mine development. </w:t>
      </w:r>
      <w:r>
        <mc:AlternateContent>
          <mc:Choice Requires="wps">
            <w:drawing>
              <wp:anchor behindDoc="0" distT="6731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0"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Flexible Targeting Strategy for Maiden Resource.   </w:t>
      </w:r>
      <w:r>
        <w:rPr>
          <w:rFonts w:ascii="Times New Roman;Times;serif" w:hAnsi="Times New Roman;Times;serif"/>
          <w:b w:val="false"/>
          <w:i w:val="false"/>
          <w:caps w:val="false"/>
          <w:smallCaps w:val="false"/>
          <w:color w:val="000000"/>
          <w:spacing w:val="4"/>
          <w:sz w:val="20"/>
        </w:rPr>
        <w:t xml:space="preserve">Cordex offers flexible targeting, from follow-up on historical intercepts to systematic step-out drilling to define initial resource. Its strategic location next to Aurora enables rapid characterization and potential integration into the overall development pathway, creating investor optionality with minimal incremental spend. </w:t>
      </w:r>
      <w:r>
        <mc:AlternateContent>
          <mc:Choice Requires="wps">
            <w:drawing>
              <wp:anchor behindDoc="0" distT="6731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1"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Aurora and Cordex Infrastructure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Aurora and Cordex together form a contiguous uranium development corridor in Malheur County, Oregon, an Agreement State under the U.S. Nuclear Regulatory Commission (“NRC”) regulations, located entirely on federally administered BLM land. This location delivers both permitting clarity and strategic eligibility for federal project acceleration under the FAST-41 Dashboard, reinforced by the March 20, 2025 Executive Order prioritizing domestic mineral production.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Aurora Uranium Project benefits from existing infrastructure, including government-maintained roads, reliable water access, and low-cost hydropower. The site is located only a short distance from a regional airport, enabling efficient movement of personnel and supplies. Situated on federally managed BLM land within an Agreement State, the project enjoys a well-defined permitting framework and a clear pathway for development. These advantages significantly reduce upfront capital requirements, have the potential to shorten construction timelines, and provide strong operational support. The combination of geological continuity, ready access to critical infrastructure, and regulatory clarity creates a solid foundation for advancing the Aurora Uranium Project toward production.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Pathway to Production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is advancing its projects through a coordinated dual-track work program, one stream driving the uranium program toward production readiness, and the other ensuring the permitting program keeps pace to enable timely development.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uranium program’s initial phases focus on U₃O₈ metallurgical test work and exploration drilling to define mineral zones. Pre-feasibility preparation includes sample collection, metallurgical testing, and comprehensive technical evaluations to support the Pre-Feasibility Study (“PFS”). Upon completion of the PFS, the project advances to the Definitive Feasibility Study (DFS) stage. Commissioning activities include securing capital expenditures and potential U.S. Department of Energy (“DOE”) grants, initiating procurement and fabrication, conducting pre-stripping, constructing the process plant, and ramping up to full production.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permitting program begins with baseline cultural and environmental studies to satisfy applicable regulatory requirements. This is followed by the submission of BLM permits for ensuring federal land access, environmental reviews, and development rights. In parallel, the company plans to submit permit applications to the Oregon Department of Geology and Mineral Industries (DOGAMI) to obtain state mining approvals. Coordination with federal agencies, including the DOE, the NRC, and the U.S. Environmental Protection Agency (EPA), occurs concurrently to secure the necessary environmental, safety, and operational authorizations in alignment with project development.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dual-stream approach ensures that technical readiness and permitting progress in lockstep, reducing timeline risk and positioning the project for a seamless transition from feasibility into construction and production.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Permitting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material federal, state, and county permits and approvals required for the development and operation of New Eagle’s uranium mining and milling activities, as well as the estimated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timelines for obtaining such approvals. These permits are subject to change based on project scope, agency workload, public comment processes, and other factors beyond New Eagle’s control. New Eagle has not obtained any of the below permits or regulatory approvals as of the date of this prospectus. </w:t>
      </w:r>
    </w:p>
    <w:tbl>
      <w:tblPr>
        <w:tblW w:w="8812" w:type="dxa"/>
        <w:jc w:val="left"/>
        <w:tblInd w:w="1393" w:type="dxa"/>
        <w:tblLayout w:type="fixed"/>
        <w:tblCellMar>
          <w:top w:w="0" w:type="dxa"/>
          <w:left w:w="0" w:type="dxa"/>
          <w:bottom w:w="28" w:type="dxa"/>
          <w:right w:w="0" w:type="dxa"/>
        </w:tblCellMar>
      </w:tblPr>
      <w:tblGrid>
        <w:gridCol w:w="124"/>
        <w:gridCol w:w="1166"/>
        <w:gridCol w:w="109"/>
        <w:gridCol w:w="109"/>
        <w:gridCol w:w="2176"/>
        <w:gridCol w:w="109"/>
        <w:gridCol w:w="109"/>
        <w:gridCol w:w="2574"/>
        <w:gridCol w:w="109"/>
        <w:gridCol w:w="109"/>
        <w:gridCol w:w="1961"/>
        <w:gridCol w:w="157"/>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16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Jurisdiction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7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Primary Authority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Key Approval or Permit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6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Timeline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66" w:type="dxa"/>
            <w:tcBorders/>
            <w:tcMar>
              <w:bottom w:w="0" w:type="dxa"/>
            </w:tcMar>
            <w:vAlign w:val="center"/>
          </w:tcPr>
          <w:p>
            <w:pPr>
              <w:pStyle w:val="TableContents"/>
              <w:bidi w:val="0"/>
              <w:spacing w:before="0" w:after="283"/>
              <w:jc w:val="left"/>
              <w:rPr>
                <w:spacing w:val="4"/>
              </w:rPr>
            </w:pPr>
            <w:r>
              <w:rPr>
                <w:spacing w:val="4"/>
              </w:rPr>
              <w:t xml:space="preserve">Federal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6" w:type="dxa"/>
            <w:tcBorders/>
            <w:tcMar>
              <w:bottom w:w="0" w:type="dxa"/>
            </w:tcMar>
            <w:vAlign w:val="center"/>
          </w:tcPr>
          <w:p>
            <w:pPr>
              <w:pStyle w:val="TableContents"/>
              <w:bidi w:val="0"/>
              <w:spacing w:before="0" w:after="0"/>
              <w:jc w:val="both"/>
              <w:rPr>
                <w:spacing w:val="4"/>
              </w:rPr>
            </w:pPr>
            <w:r>
              <w:rPr>
                <w:spacing w:val="4"/>
              </w:rPr>
              <w:t xml:space="preserve">U.S. Nuclear Regulatory Commission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4" w:type="dxa"/>
            <w:tcBorders/>
            <w:tcMar>
              <w:bottom w:w="0" w:type="dxa"/>
            </w:tcMar>
            <w:vAlign w:val="center"/>
          </w:tcPr>
          <w:p>
            <w:pPr>
              <w:pStyle w:val="TableContents"/>
              <w:bidi w:val="0"/>
              <w:spacing w:before="0" w:after="0"/>
              <w:jc w:val="both"/>
              <w:rPr>
                <w:spacing w:val="4"/>
              </w:rPr>
            </w:pPr>
            <w:r>
              <w:rPr>
                <w:spacing w:val="4"/>
              </w:rPr>
              <w:t xml:space="preserve">Uranium Milling License and related environmental review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1" w:type="dxa"/>
            <w:tcBorders/>
            <w:tcMar>
              <w:bottom w:w="0" w:type="dxa"/>
            </w:tcMar>
            <w:vAlign w:val="center"/>
          </w:tcPr>
          <w:p>
            <w:pPr>
              <w:pStyle w:val="TableContents"/>
              <w:bidi w:val="0"/>
              <w:spacing w:before="0" w:after="0"/>
              <w:jc w:val="left"/>
              <w:rPr>
                <w:spacing w:val="4"/>
              </w:rPr>
            </w:pPr>
            <w:r>
              <w:rPr>
                <w:spacing w:val="4"/>
              </w:rPr>
              <w:t xml:space="preserve">Approximately 45 to 54 months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66" w:type="dxa"/>
            <w:tcBorders/>
            <w:tcMar>
              <w:bottom w:w="0" w:type="dxa"/>
            </w:tcMar>
            <w:vAlign w:val="center"/>
          </w:tcPr>
          <w:p>
            <w:pPr>
              <w:pStyle w:val="TableContents"/>
              <w:bidi w:val="0"/>
              <w:spacing w:before="0" w:after="283"/>
              <w:jc w:val="left"/>
              <w:rPr>
                <w:spacing w:val="4"/>
              </w:rPr>
            </w:pPr>
            <w:r>
              <w:rPr>
                <w:spacing w:val="4"/>
              </w:rPr>
              <w:t xml:space="preserve">Federal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6" w:type="dxa"/>
            <w:tcBorders/>
            <w:tcMar>
              <w:bottom w:w="0" w:type="dxa"/>
            </w:tcMar>
            <w:vAlign w:val="center"/>
          </w:tcPr>
          <w:p>
            <w:pPr>
              <w:pStyle w:val="TableContents"/>
              <w:bidi w:val="0"/>
              <w:spacing w:before="0" w:after="0"/>
              <w:jc w:val="both"/>
              <w:rPr>
                <w:spacing w:val="4"/>
              </w:rPr>
            </w:pPr>
            <w:r>
              <w:rPr>
                <w:spacing w:val="4"/>
              </w:rPr>
              <w:t xml:space="preserve">U.S. Bureau of Land Management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4" w:type="dxa"/>
            <w:tcBorders/>
            <w:tcMar>
              <w:bottom w:w="0" w:type="dxa"/>
            </w:tcMar>
            <w:vAlign w:val="center"/>
          </w:tcPr>
          <w:p>
            <w:pPr>
              <w:pStyle w:val="TableContents"/>
              <w:bidi w:val="0"/>
              <w:spacing w:before="0" w:after="0"/>
              <w:jc w:val="both"/>
              <w:rPr>
                <w:spacing w:val="4"/>
              </w:rPr>
            </w:pPr>
            <w:r>
              <w:rPr>
                <w:spacing w:val="4"/>
              </w:rPr>
              <w:t xml:space="preserve">Mine Plan of Operations and associated environmental review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1" w:type="dxa"/>
            <w:tcBorders/>
            <w:tcMar>
              <w:bottom w:w="0" w:type="dxa"/>
            </w:tcMar>
            <w:vAlign w:val="center"/>
          </w:tcPr>
          <w:p>
            <w:pPr>
              <w:pStyle w:val="TableContents"/>
              <w:bidi w:val="0"/>
              <w:spacing w:before="0" w:after="0"/>
              <w:jc w:val="left"/>
              <w:rPr>
                <w:spacing w:val="4"/>
              </w:rPr>
            </w:pPr>
            <w:r>
              <w:rPr>
                <w:spacing w:val="4"/>
              </w:rPr>
              <w:t xml:space="preserve">Approximately 21 to 27 months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66" w:type="dxa"/>
            <w:tcBorders/>
            <w:tcMar>
              <w:bottom w:w="0" w:type="dxa"/>
            </w:tcMar>
            <w:vAlign w:val="center"/>
          </w:tcPr>
          <w:p>
            <w:pPr>
              <w:pStyle w:val="TableContents"/>
              <w:bidi w:val="0"/>
              <w:spacing w:before="0" w:after="283"/>
              <w:jc w:val="left"/>
              <w:rPr>
                <w:spacing w:val="4"/>
              </w:rPr>
            </w:pPr>
            <w:r>
              <w:rPr>
                <w:spacing w:val="4"/>
              </w:rPr>
              <w:t xml:space="preserve">Federal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6" w:type="dxa"/>
            <w:tcBorders/>
            <w:tcMar>
              <w:bottom w:w="0" w:type="dxa"/>
            </w:tcMar>
            <w:vAlign w:val="center"/>
          </w:tcPr>
          <w:p>
            <w:pPr>
              <w:pStyle w:val="TableContents"/>
              <w:bidi w:val="0"/>
              <w:spacing w:before="0" w:after="0"/>
              <w:jc w:val="both"/>
              <w:rPr>
                <w:spacing w:val="4"/>
              </w:rPr>
            </w:pPr>
            <w:r>
              <w:rPr>
                <w:spacing w:val="4"/>
              </w:rPr>
              <w:t xml:space="preserve">U.S. Environmental Protection Agency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4" w:type="dxa"/>
            <w:tcBorders/>
            <w:tcMar>
              <w:bottom w:w="0" w:type="dxa"/>
            </w:tcMar>
            <w:vAlign w:val="center"/>
          </w:tcPr>
          <w:p>
            <w:pPr>
              <w:pStyle w:val="TableContents"/>
              <w:bidi w:val="0"/>
              <w:spacing w:before="0" w:after="0"/>
              <w:jc w:val="both"/>
              <w:rPr>
                <w:spacing w:val="4"/>
              </w:rPr>
            </w:pPr>
            <w:r>
              <w:rPr>
                <w:spacing w:val="4"/>
              </w:rPr>
              <w:t xml:space="preserve">Air and tailings related construction and operating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1" w:type="dxa"/>
            <w:tcBorders/>
            <w:tcMar>
              <w:bottom w:w="0" w:type="dxa"/>
            </w:tcMar>
            <w:vAlign w:val="center"/>
          </w:tcPr>
          <w:p>
            <w:pPr>
              <w:pStyle w:val="TableContents"/>
              <w:bidi w:val="0"/>
              <w:spacing w:before="0" w:after="0"/>
              <w:jc w:val="left"/>
              <w:rPr>
                <w:spacing w:val="4"/>
              </w:rPr>
            </w:pPr>
            <w:r>
              <w:rPr>
                <w:spacing w:val="4"/>
              </w:rPr>
              <w:t xml:space="preserve">Approximately 12 to 18 months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66" w:type="dxa"/>
            <w:tcBorders/>
            <w:tcMar>
              <w:bottom w:w="0" w:type="dxa"/>
            </w:tcMar>
            <w:vAlign w:val="center"/>
          </w:tcPr>
          <w:p>
            <w:pPr>
              <w:pStyle w:val="TableContents"/>
              <w:bidi w:val="0"/>
              <w:spacing w:before="0" w:after="283"/>
              <w:jc w:val="left"/>
              <w:rPr>
                <w:spacing w:val="4"/>
              </w:rPr>
            </w:pPr>
            <w:r>
              <w:rPr>
                <w:spacing w:val="4"/>
              </w:rPr>
              <w:t xml:space="preserve">State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6" w:type="dxa"/>
            <w:tcBorders/>
            <w:tcMar>
              <w:bottom w:w="0" w:type="dxa"/>
            </w:tcMar>
            <w:vAlign w:val="center"/>
          </w:tcPr>
          <w:p>
            <w:pPr>
              <w:pStyle w:val="TableContents"/>
              <w:bidi w:val="0"/>
              <w:spacing w:before="0" w:after="0"/>
              <w:jc w:val="both"/>
              <w:rPr>
                <w:spacing w:val="4"/>
              </w:rPr>
            </w:pPr>
            <w:r>
              <w:rPr>
                <w:spacing w:val="4"/>
              </w:rPr>
              <w:t xml:space="preserve">State environmental and mining agencies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4" w:type="dxa"/>
            <w:tcBorders/>
            <w:tcMar>
              <w:bottom w:w="0" w:type="dxa"/>
            </w:tcMar>
            <w:vAlign w:val="center"/>
          </w:tcPr>
          <w:p>
            <w:pPr>
              <w:pStyle w:val="TableContents"/>
              <w:bidi w:val="0"/>
              <w:spacing w:before="0" w:after="0"/>
              <w:jc w:val="both"/>
              <w:rPr>
                <w:spacing w:val="4"/>
              </w:rPr>
            </w:pPr>
            <w:r>
              <w:rPr>
                <w:spacing w:val="4"/>
              </w:rPr>
              <w:t xml:space="preserve">Mining, air quality, water discharge, and water rights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1" w:type="dxa"/>
            <w:tcBorders/>
            <w:tcMar>
              <w:bottom w:w="0" w:type="dxa"/>
            </w:tcMar>
            <w:vAlign w:val="center"/>
          </w:tcPr>
          <w:p>
            <w:pPr>
              <w:pStyle w:val="TableContents"/>
              <w:bidi w:val="0"/>
              <w:spacing w:before="0" w:after="0"/>
              <w:jc w:val="left"/>
              <w:rPr>
                <w:spacing w:val="4"/>
              </w:rPr>
            </w:pPr>
            <w:r>
              <w:rPr>
                <w:spacing w:val="4"/>
              </w:rPr>
              <w:t xml:space="preserve">Approximately 6 to 18 months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66" w:type="dxa"/>
            <w:tcBorders/>
            <w:tcMar>
              <w:bottom w:w="0" w:type="dxa"/>
            </w:tcMar>
            <w:vAlign w:val="center"/>
          </w:tcPr>
          <w:p>
            <w:pPr>
              <w:pStyle w:val="TableContents"/>
              <w:bidi w:val="0"/>
              <w:spacing w:before="0" w:after="283"/>
              <w:jc w:val="left"/>
              <w:rPr>
                <w:spacing w:val="4"/>
              </w:rPr>
            </w:pPr>
            <w:r>
              <w:rPr>
                <w:spacing w:val="4"/>
              </w:rPr>
              <w:t xml:space="preserve">State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6" w:type="dxa"/>
            <w:tcBorders/>
            <w:tcMar>
              <w:bottom w:w="0" w:type="dxa"/>
            </w:tcMar>
            <w:vAlign w:val="center"/>
          </w:tcPr>
          <w:p>
            <w:pPr>
              <w:pStyle w:val="TableContents"/>
              <w:bidi w:val="0"/>
              <w:spacing w:before="0" w:after="0"/>
              <w:jc w:val="both"/>
              <w:rPr>
                <w:spacing w:val="4"/>
              </w:rPr>
            </w:pPr>
            <w:r>
              <w:rPr>
                <w:spacing w:val="4"/>
              </w:rPr>
              <w:t xml:space="preserve">Wildlife and historic preservation agencies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4" w:type="dxa"/>
            <w:tcBorders/>
            <w:tcMar>
              <w:bottom w:w="0" w:type="dxa"/>
            </w:tcMar>
            <w:vAlign w:val="center"/>
          </w:tcPr>
          <w:p>
            <w:pPr>
              <w:pStyle w:val="TableContents"/>
              <w:bidi w:val="0"/>
              <w:spacing w:before="0" w:after="0"/>
              <w:jc w:val="both"/>
              <w:rPr>
                <w:spacing w:val="4"/>
              </w:rPr>
            </w:pPr>
            <w:r>
              <w:rPr>
                <w:spacing w:val="4"/>
              </w:rPr>
              <w:t xml:space="preserve">Cultural resource surveys and wildlife mitigation approvals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1" w:type="dxa"/>
            <w:tcBorders/>
            <w:tcMar>
              <w:bottom w:w="0" w:type="dxa"/>
            </w:tcMar>
            <w:vAlign w:val="center"/>
          </w:tcPr>
          <w:p>
            <w:pPr>
              <w:pStyle w:val="TableContents"/>
              <w:bidi w:val="0"/>
              <w:spacing w:before="0" w:after="0"/>
              <w:jc w:val="left"/>
              <w:rPr>
                <w:spacing w:val="4"/>
              </w:rPr>
            </w:pPr>
            <w:r>
              <w:rPr>
                <w:spacing w:val="4"/>
              </w:rPr>
              <w:t xml:space="preserve">Approximately 3 to 12 months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66" w:type="dxa"/>
            <w:tcBorders/>
            <w:tcMar>
              <w:bottom w:w="0" w:type="dxa"/>
            </w:tcMar>
            <w:vAlign w:val="center"/>
          </w:tcPr>
          <w:p>
            <w:pPr>
              <w:pStyle w:val="TableContents"/>
              <w:bidi w:val="0"/>
              <w:spacing w:before="0" w:after="283"/>
              <w:jc w:val="left"/>
              <w:rPr>
                <w:spacing w:val="4"/>
              </w:rPr>
            </w:pPr>
            <w:r>
              <w:rPr>
                <w:spacing w:val="4"/>
              </w:rPr>
              <w:t xml:space="preserve">County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6" w:type="dxa"/>
            <w:tcBorders/>
            <w:tcMar>
              <w:bottom w:w="0" w:type="dxa"/>
            </w:tcMar>
            <w:vAlign w:val="center"/>
          </w:tcPr>
          <w:p>
            <w:pPr>
              <w:pStyle w:val="TableContents"/>
              <w:bidi w:val="0"/>
              <w:spacing w:before="0" w:after="283"/>
              <w:jc w:val="left"/>
              <w:rPr>
                <w:spacing w:val="4"/>
              </w:rPr>
            </w:pPr>
            <w:r>
              <w:rPr>
                <w:spacing w:val="4"/>
              </w:rPr>
              <w:t xml:space="preserve">Local county authorities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4" w:type="dxa"/>
            <w:tcBorders/>
            <w:tcMar>
              <w:bottom w:w="0" w:type="dxa"/>
            </w:tcMar>
            <w:vAlign w:val="center"/>
          </w:tcPr>
          <w:p>
            <w:pPr>
              <w:pStyle w:val="TableContents"/>
              <w:bidi w:val="0"/>
              <w:spacing w:before="0" w:after="0"/>
              <w:jc w:val="both"/>
              <w:rPr>
                <w:spacing w:val="4"/>
              </w:rPr>
            </w:pPr>
            <w:r>
              <w:rPr>
                <w:spacing w:val="4"/>
              </w:rPr>
              <w:t xml:space="preserve">Conditional use and building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1" w:type="dxa"/>
            <w:tcBorders/>
            <w:tcMar>
              <w:bottom w:w="0" w:type="dxa"/>
            </w:tcMar>
            <w:vAlign w:val="center"/>
          </w:tcPr>
          <w:p>
            <w:pPr>
              <w:pStyle w:val="TableContents"/>
              <w:bidi w:val="0"/>
              <w:spacing w:before="0" w:after="283"/>
              <w:jc w:val="left"/>
              <w:rPr/>
            </w:pPr>
            <w:r>
              <w:rPr>
                <w:spacing w:val="4"/>
              </w:rPr>
              <w:t>Approximately 6 to 9 months</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Eagle’s operations are subject to extensive federal, state, and local permitting and regulatory requirements. The most significant regulatory approvals include obtaining a uranium milling license from the U.S. Nuclear Regulatory Commission and approval of a Mine Plan of Operations from the U.S. Bureau of Land Management, each of which requires the preparation and approval of environmental reviews under the National Environmental Policy Act. These approvals represent the longest lead time items and are expected to require multiple years to complete.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 and local permits, including mining, air quality, water use, wildlife mitigation, and land use approvals, are generally expected to be obtained in parallel with federal reviews but remain subject to agency discretion and public participation. There can be no assurance that required permits will be obtained on acceptable timelines or at 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Aurora Option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18, 2024, Eagle Energy entered into a property option agreement, which is referred to as the Aurora Option Agreement, with Aurora and its wholly owned subsidiary, Oregon Energy, which owns a 100% interest in the 365 mining claims that constitute the Aurora Uranium Project. Pursuant to the agreement, Aurora granted Eagle Energy the sole and exclusive option to acquire sole ownership of Oregon Energy. To extend the date by which the option may be exercised to November 18, 2025, Eagle Energy paid Aurora $300,000 and placed $250,000 into escrow to cover mining expenditures. Prior to November 18, 2025, Eagle Energy extended the date by which the option may be exercised to May 18, 2026, by paying Aurora $400,000 and placing an additional $250,000 into escrow to cover mining expenditures. In addition, on November 26, 2025, Eagle Energy amended the Aurora Option Agreement to extend the date by which the option may be exercised to July 2, 2026, and to modify the conditions upon which the additional resource payments set forth in the next paragraph may be earned.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completion of the Business Combination, New Eagle issued Aurora 1,710,991 shares of Common Stock (the “Aurora Option Payment Shares”) (inclusive of the “Optional Payment Shares” defined below). The Aurora Option Agreement, as amended on November 26, 2025, also provided that Eagle Energy would provide a resource payment of $4,000,000 in shares of New Eagle Common Stock in addition to the Aurora Option Payment Shares if New Eagle identifies a measured SK1300 mineral resource of not less than 40 million pounds of U</w:t>
      </w:r>
      <w:r>
        <w:rPr>
          <w:rFonts w:ascii="Times New Roman;Times;serif" w:hAnsi="Times New Roman;Times;serif"/>
          <w:b w:val="false"/>
          <w:i w:val="false"/>
          <w:caps w:val="false"/>
          <w:smallCaps w:val="false"/>
          <w:color w:val="000000"/>
          <w:spacing w:val="3"/>
          <w:sz w:val="15"/>
        </w:rPr>
        <w:t>3</w:t>
      </w:r>
      <w:r>
        <w:rPr>
          <w:rFonts w:ascii="Times New Roman;Times;serif" w:hAnsi="Times New Roman;Times;serif"/>
          <w:b w:val="false"/>
          <w:i w:val="false"/>
          <w:caps w:val="false"/>
          <w:smallCaps w:val="false"/>
          <w:color w:val="000000"/>
          <w:spacing w:val="4"/>
          <w:sz w:val="20"/>
        </w:rPr>
        <w:t>O</w:t>
      </w:r>
      <w:r>
        <w:rPr>
          <w:rFonts w:ascii="Times New Roman;Times;serif" w:hAnsi="Times New Roman;Times;serif"/>
          <w:b w:val="false"/>
          <w:i w:val="false"/>
          <w:caps w:val="false"/>
          <w:smallCaps w:val="false"/>
          <w:color w:val="000000"/>
          <w:spacing w:val="3"/>
          <w:sz w:val="15"/>
        </w:rPr>
        <w:t>8</w:t>
      </w:r>
      <w:r>
        <w:rPr>
          <w:rFonts w:ascii="Times New Roman;Times;serif" w:hAnsi="Times New Roman;Times;serif"/>
          <w:b w:val="false"/>
          <w:i w:val="false"/>
          <w:caps w:val="false"/>
          <w:smallCaps w:val="false"/>
          <w:color w:val="000000"/>
          <w:spacing w:val="4"/>
          <w:sz w:val="20"/>
        </w:rPr>
        <w:t xml:space="preserve"> in the next newly prepared SK1300 mineral resource update issued by New Eagle, as well as $200,000 for every additional 1 million pounds of measured SK1300 mineral resource over 40 million pounds of U</w:t>
      </w:r>
      <w:r>
        <w:rPr>
          <w:rFonts w:ascii="Times New Roman;Times;serif" w:hAnsi="Times New Roman;Times;serif"/>
          <w:b w:val="false"/>
          <w:i w:val="false"/>
          <w:caps w:val="false"/>
          <w:smallCaps w:val="false"/>
          <w:color w:val="000000"/>
          <w:spacing w:val="3"/>
          <w:sz w:val="15"/>
        </w:rPr>
        <w:t>3</w:t>
      </w:r>
      <w:r>
        <w:rPr>
          <w:rFonts w:ascii="Times New Roman;Times;serif" w:hAnsi="Times New Roman;Times;serif"/>
          <w:b w:val="false"/>
          <w:i w:val="false"/>
          <w:caps w:val="false"/>
          <w:smallCaps w:val="false"/>
          <w:color w:val="000000"/>
          <w:spacing w:val="4"/>
          <w:sz w:val="20"/>
        </w:rPr>
        <w:t>O</w:t>
      </w:r>
      <w:r>
        <w:rPr>
          <w:rFonts w:ascii="Times New Roman;Times;serif" w:hAnsi="Times New Roman;Times;serif"/>
          <w:b w:val="false"/>
          <w:i w:val="false"/>
          <w:caps w:val="false"/>
          <w:smallCaps w:val="false"/>
          <w:color w:val="000000"/>
          <w:spacing w:val="3"/>
          <w:sz w:val="15"/>
        </w:rPr>
        <w:t>8</w:t>
      </w:r>
      <w:r>
        <w:rPr>
          <w:rFonts w:ascii="Times New Roman;Times;serif" w:hAnsi="Times New Roman;Times;serif"/>
          <w:b w:val="false"/>
          <w:i w:val="false"/>
          <w:caps w:val="false"/>
          <w:smallCaps w:val="false"/>
          <w:color w:val="000000"/>
          <w:spacing w:val="4"/>
          <w:sz w:val="20"/>
        </w:rPr>
        <w:t xml:space="preserve"> (prorated for amounts less than 1 million pounds and capped at $1,000,000).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has also granted Aurora a 1% NSR in the project’s future revenue, half or all of which may be repurchased by New Eagle for consideration of $1,000,000 or $2,000,000, respectively, prior to commencement of the project’s commercial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agreed to issue Aurora additional shares of Common Stock (the “Aurora Option Payment Shares”) based on any increase in the spot price of uranium between November 18, 2024 (the effective date of the Aurora Option Agreement), and the completion of the Business Combination, with the value of these Aurora Option Payment Shares being equal to the product of (I) 50% of the percentage increase in the spot price and (II) the number of Aurora Option Payment Shares associated with the initial $16,000,000 valuation. If the spot price did not increase, there would be no adjustment to the number of Aurora Option Payment Shares. New Eagle issued 110,991 shares of Common Stock to Aurora as Aurora Option Payment Shares. Further, upon completion of a positive pre-feasibility study on the project following completion of the Business Combination, New Eagle will issue Aurora additional Aurora Option Payment Shares with a value of $5,000,000, determined by the 30-day volume-weighted average trading price of our shares (or those of New Eagle’s successor) during the 30 days prior to the announcement of the pre- feasibility study.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note that there are a number of risks associated with the Aurora Option Agreement. For additional information, see the sections entitled “</w:t>
      </w:r>
      <w:r>
        <w:rPr>
          <w:rFonts w:ascii="Times New Roman;Times;serif" w:hAnsi="Times New Roman;Times;serif"/>
          <w:b w:val="false"/>
          <w:i/>
          <w:caps w:val="false"/>
          <w:smallCaps w:val="false"/>
          <w:color w:val="000000"/>
          <w:spacing w:val="4"/>
          <w:sz w:val="20"/>
        </w:rPr>
        <w:t>Management’s Discussion and Analysis of Financial Conditions and Results of Operations of New Eagle — Company Overview — Mineral Rights — Aurora Uranium Project</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Risk Factors — Risks Related to Our Business and Industry — The Aurora Uranium Project is in the exploration stage. There is no assurance that we can establish the existence of any mineral reserve from the Aurora Uranium Project in commercially exploitable quantities. Until then, we cannot earn any revenues from the Aurora Uranium Project, and its business could fail</w:t>
      </w:r>
      <w:r>
        <w:rPr>
          <w:rFonts w:ascii="Times New Roman;Times;serif" w:hAnsi="Times New Roman;Times;serif"/>
          <w:b w:val="false"/>
          <w:i w:val="false"/>
          <w:caps w:val="false"/>
          <w:smallCaps w:val="false"/>
          <w:color w:val="000000"/>
          <w:spacing w:val="4"/>
          <w:sz w:val="20"/>
        </w:rPr>
        <w:t xml:space="preserve">.” The full text of the Aurora Option Agreement and the amendments thereto are filed as exhibits to the registration statement on Form S-1 of which this prospectus forms a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Eagle’s Small Modular Nuclear Reactor Technology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is actively engaged in the advancement of SMR technology as a core component of its strategic growth plan. Through an exclusive license agreement with UNM Rainforest Innovations (“UNMRI”), the technology-transfer and economic-development organization for the University of New Mexico, New Eagle has secured worldwide rights to a portfolio of proprietary patent applications and technologies covering the design, manufacture, and commercialization of advanced SMR and related systems.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Eagle’s SMR development business is focused on leveraging these intellectual property assets to create innovative, portable, and stationary nuclear power “micro” reactors with generation capacities of less than 10MWth, referred to as the Very-Small, Long-Life and Modular Reactor or VSLLIM. In addition, New Eagle intends to utilize the technology underlying VSLLIM to build onto existing publicly available technology to develop SMRs with similar core architecture and fuel composition with output capacities between 10 and 100MWth, referred to as the Scalable Liquid Metal-cooled Modular Reactor or SLIMM.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is committed to the research, engineering, and commercialization of next-generation SMR technologies, including advanced heat exchangers and autonomous control systems, to address the growing demand for resilient, decentralized, and clean energy sources across commercial, residential, military, artificial intelligence, data center, and governmental markets. The SMR business represents a significant strategic initiative for New Eagle, complementing its uranium supply operations and helping to position New Eagle at the forefront of the nuclear energy value chain. By integrating proprietary reactor technology with its anticipated uranium production, New Eagle aims to deliver a vertically integrated solution that supports the global transition to sustainable energy and enhances its long-term growth prospects.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New Eagle’s Technology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Eagle’s portfolio of SMR technology is based on sodium-cooled, fast-spectrum technology. The design utilizes a fast neutron spectrum core fueled by enriched uranium nitride (UN) fuel and is cooled by natural circulation of liquid sodium metal. All heat removal is achieved passively: during operation and after shutdown, coolant flow is driven by gravity and buoyancy (no pumps), enabled by an in-vessel chimney and a helically coiled sodium heat exchanger in the primary vessel. This simple, sealed primary system allows the reactor to operate at or near atmospheric pressure, taking advantage of sodium’s very low vapor pressure.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reactor’s fast spectrum and high fuel density support exceptional fuel longevity. For example, in a VSLLIM reactor design, a single core can run for approximately 5.9 full-power years at 10MWth output, or up to ~92 full-power years at 1 MWth before refueling is required. Independent control and safety systems 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incorporated (e.g. control rods and shut-off rods) for redundant reactivity control, but the design’s inherent negative reactivity feedback and passive cooling confer a “walk-away safe” profile where no active intervention is needed to keep the reactor stable.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Eagle’s SMR technology introduces a number of key design innovations that we believe will allow New Eagle to be amongst the most reliable provider of nuclear power.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VSLLIM Reactor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VSLLIM is an ultra-compact “micro” reactor with a thermal output of roughly 1 – 10 MWth of electricity. Its key design features include: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Modularity, Portability, and Long Life.   </w:t>
      </w:r>
      <w:r>
        <w:rPr>
          <w:rFonts w:ascii="Times New Roman;Times;serif" w:hAnsi="Times New Roman;Times;serif"/>
          <w:b w:val="false"/>
          <w:i w:val="false"/>
          <w:caps w:val="false"/>
          <w:smallCaps w:val="false"/>
          <w:color w:val="000000"/>
          <w:spacing w:val="4"/>
          <w:sz w:val="20"/>
        </w:rPr>
        <w:t xml:space="preserve">The VSLLIM reactor leverages a single core design with scalable output, by increasing the size of the in-vessel sodium-to-sodium (Na-Na) heat exchanger in the downcomer, nominal power can range from 1MWth to 10MWth without altering the core geometry. This modular approach means the entire power unit can be mounted on an 18-wheeler truck for rapid deployment. Designed for longevity, VSLLIM can operate for 5.9 full-power years at 10MWth (3.3MWe) output, or up to ~92 full-power years at 1MWth (0.3Mwe), before refueling is required.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2"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Low-Risk and Attractive Investment.   </w:t>
      </w:r>
      <w:r>
        <w:rPr>
          <w:rFonts w:ascii="Times New Roman;Times;serif" w:hAnsi="Times New Roman;Times;serif"/>
          <w:b w:val="false"/>
          <w:i w:val="false"/>
          <w:caps w:val="false"/>
          <w:smallCaps w:val="false"/>
          <w:color w:val="000000"/>
          <w:spacing w:val="4"/>
          <w:sz w:val="20"/>
        </w:rPr>
        <w:t xml:space="preserve">VSLLIM’s low unit cost, short 12 – 18 month construction and deployment window, and high-quality assurance make it a compelling investment. Units are portable but can also be installed permanently below ground and mounted on seismic isolation bearings for earthquake protection. Beyond power, VSLLIM produces high-temperature process heat suitable for industrial applications and district heating. Built with commercially available materials, operating below atmospheric pressure, and equipped with redundant passive safety systems, the design minimizes both technical and regulatory risks.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3"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Non-Proliferation and End-of-Life Handling.   </w:t>
      </w:r>
      <w:r>
        <w:rPr>
          <w:rFonts w:ascii="Times New Roman;Times;serif" w:hAnsi="Times New Roman;Times;serif"/>
          <w:b w:val="false"/>
          <w:i w:val="false"/>
          <w:caps w:val="false"/>
          <w:smallCaps w:val="false"/>
          <w:color w:val="000000"/>
          <w:spacing w:val="4"/>
          <w:sz w:val="20"/>
        </w:rPr>
        <w:t xml:space="preserve">The VSLLIM concept eliminates on-site storage of either fresh or used fuel. Each reactor unit is factory-fabricated, assembled, and sealed, arriving on-site ready for operation. At the end of its service life, the sealed unit can be safely returned to the factory or a reprocessing facility within 6 – 12 months of shutdown and replaced with a new module. This closed handling loop enhances security, reduces local environmental impact, and aligns with international non-proliferation best practices.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4"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Walk-Away Safe.   </w:t>
      </w:r>
      <w:r>
        <w:rPr>
          <w:rFonts w:ascii="Times New Roman;Times;serif" w:hAnsi="Times New Roman;Times;serif"/>
          <w:b w:val="false"/>
          <w:i w:val="false"/>
          <w:caps w:val="false"/>
          <w:smallCaps w:val="false"/>
          <w:color w:val="000000"/>
          <w:spacing w:val="4"/>
          <w:sz w:val="20"/>
        </w:rPr>
        <w:t xml:space="preserve">VSLLIM employs true passive safety, with natural circulation of in-vessel liquid sodium, aided by a chimney and Na-Na heat exchanger, providing redundant decay heat removal. Liquid metal heat pipes with passive thermoelectric modules, plus an independent air-cooling system, ensure stability without a pressure vessel and with a large thermal margin to boiling. Negative temperature reactivity feedback allows automatic shutdown and load-following, while LMHP-TE modules power safety systems even during total loss of external power.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5"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VSLLIM microreactor is being developed to serve off-grid and mobile power needs where traditional energy infrastructure is impractical. Its &lt;10MWth scale and rapid deployment capability make it suitable for remote communities and mining sites, disaster relief operations, and military forward bases, providing reliable power in austere environments without the logistics of fuel resupply. Multiple VSLLIM units can also be installed incrementally to match growing power demand — for example, a cluster of units could collectively supply up to ~100 MWe by adding modules as needed. In civilian applications, VSLLIM reactors could support industrial process heat and district heating in regions lacking grid capacity, or serve as dedicated generators for critical facilities like hospitals and data centers. Longer-term, the ultra-compact design (small enough to fit within a rocket payload envelope) opens potential niche applications in space exploration, such as surface power for lunar or Martian outposts.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SLLIM Reactor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SLIMM reactor is a scalable small modular reactor concept based on the same sodium-cooled, fast-spectrum technology as VSLLIM, but designed for higher power output and larger energy applications: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Scalable High-Power Output.</w:t>
      </w:r>
      <w:r>
        <w:rPr>
          <w:rFonts w:ascii="Times New Roman;Times;serif" w:hAnsi="Times New Roman;Times;serif"/>
          <w:b w:val="false"/>
          <w:i w:val="false"/>
          <w:caps w:val="false"/>
          <w:smallCaps w:val="false"/>
          <w:color w:val="000000"/>
          <w:spacing w:val="4"/>
          <w:sz w:val="20"/>
        </w:rPr>
        <w:t xml:space="preserve">   The SLIMM reactor builds on the proven sodium-cooled, fast-spectrum technology of the VSLLIM design, scaling it for significantly higher thermal and electrical output. Using the same UN fuel composition and core architecture, SLIMM can be configured from 10MWth </w:t>
      </w:r>
      <w:r>
        <mc:AlternateContent>
          <mc:Choice Requires="wps">
            <w:drawing>
              <wp:anchor behindDoc="0" distT="7366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6"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(3Mwe) up to 100MWth (33MWe) of power in a single unit. At the top 100MWth rating, the reactor can operate for approximately 5.8 full-power years without refueling, while at 10MWth output it can run continuously for more than six decades. This scalability allows SLIMM to address a wider range of applications, from powering data centers to be used to address demand from quantum computing, automation, and cryptocurrencies. SLIMM can also be used for industrial process heat to utility-scale community power generation.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Engineered for Safety and Reliability.</w:t>
      </w:r>
      <w:r>
        <w:rPr>
          <w:rFonts w:ascii="Times New Roman;Times;serif" w:hAnsi="Times New Roman;Times;serif"/>
          <w:b w:val="false"/>
          <w:i w:val="false"/>
          <w:caps w:val="false"/>
          <w:smallCaps w:val="false"/>
          <w:color w:val="000000"/>
          <w:spacing w:val="4"/>
          <w:sz w:val="20"/>
        </w:rPr>
        <w:t>   SLIMM retains all of VSLLIM’s inherent safety features, operating entirely on passive natural circulation of liquid sodium with no reliance on pumps for coolant flow. Decay heat removal is ensured by a combination of in-vessel heat exchangers, heat-pipe systems with thermoelectric power conversion, and independent ambient air cooling along the guard vessel wall. The reactor maintains large temperature margins to sodium boiling and incorporates strong negative temperature reactivity feedback, enabling load-following capability and passive shutdown in off-normal conditions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7"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Optimized for Higher Capacity.</w:t>
      </w:r>
      <w:r>
        <w:rPr>
          <w:rFonts w:ascii="Times New Roman;Times;serif" w:hAnsi="Times New Roman;Times;serif"/>
          <w:b w:val="false"/>
          <w:i w:val="false"/>
          <w:caps w:val="false"/>
          <w:smallCaps w:val="false"/>
          <w:color w:val="000000"/>
          <w:spacing w:val="4"/>
          <w:sz w:val="20"/>
        </w:rPr>
        <w:t>   While the technology platform is the same, SLIMM’s scale is designed for higher power. The reactor vessel and internals are dimensioned to accommodate a taller chimney, ranging from 2 to 8 meters, and a larger heat exchanger surface area, which increases natural convective flow rates to handle higher thermal outputs efficiently. These design modifications allow SLIMM to deliver industrial-scale power without compromising the passive safety and operational simplicity that define the technology</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8"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Modular and Transportable Deployment.   </w:t>
      </w:r>
      <w:r>
        <w:rPr>
          <w:rFonts w:ascii="Times New Roman;Times;serif" w:hAnsi="Times New Roman;Times;serif"/>
          <w:b w:val="false"/>
          <w:i w:val="false"/>
          <w:caps w:val="false"/>
          <w:smallCaps w:val="false"/>
          <w:color w:val="000000"/>
          <w:spacing w:val="4"/>
          <w:sz w:val="20"/>
        </w:rPr>
        <w:t>Like its smaller counterpart, SLIMM is fully modular and transportable. Each reactor unit is factory-fabricated, sealed, and shipped by heavy truck, rail, or barge. At the deployment site, the module is installed in a below-ground silo, protected by shielding and seismic isolation bearings. This approach minimizes on-site assembly, accelerates deployment schedules, and enhances both physical security and quality assurance by concentrating manufacturing in controlled facilities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9"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SMR Construction and Operational Advantages.   </w:t>
      </w:r>
      <w:r>
        <w:rPr>
          <w:rFonts w:ascii="Times New Roman;Times;serif" w:hAnsi="Times New Roman;Times;serif"/>
          <w:b w:val="false"/>
          <w:i w:val="false"/>
          <w:caps w:val="false"/>
          <w:smallCaps w:val="false"/>
          <w:color w:val="000000"/>
          <w:spacing w:val="4"/>
          <w:sz w:val="20"/>
        </w:rPr>
        <w:t xml:space="preserve">SLIMM delivers the hallmark benefits of SMR deployment: reduced construction timelines, predictable manufacturing quality, and enhanced operational security. Its ability to produce both electricity and high-temperature process heat, combined with its long refueling interval and passive safety design, makes SLIMM a compelling solution for utilities, industrial operators, and government customers seeking reliable, carbon-free energy at a range of scales.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0"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its larger power range, SLIMM is aimed at providing power needs for artificial intelligence, data centers, cryptocurrency, industrial and larger communities grid-support markets that require tens of megawatts of reliable generation. A single SLIMM unit could power a small city or a large industrial facility, or several could be combined for a distributed grid configuration for data centers. SLIMM could also serve utility clients looking to replace diesel generators or retire aging fossil fuel plants with a nuclear option that is simpler and faster to build than conventional reactors. Like the microreactor, SLIMM units can be added incrementally — for instance, an initial 33MWe unit at a remote mining co-located data center operation could later be augmented with additional modules up to 100MWe+ as demand grows, all while leveraging the same standardized design.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SMR License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On June 20, 2025, Eagle Energy entered into an Exclusive Patent License Agreement (“SMR License Agreement”), with UNMRI. Under the agreement, we obtained exclusive, worldwide rights to use, develop, manufacture, and commercialize certain patent applications and technology related to small modular nuclear reactors and associated heat exchanger and control technologies that we refer to as the Licensed Patents and Licensed Technology. Specifically, the SMR License Agreement includes one U.S. utility patent application for the VSLLIM reactor and three provisional applications for processes underlying VSLLIM and SLIMM. The Agreement covers all fields of use, with certain restrictions for specific technologies, and includes the right to grant commercial sublicenses, subject to UNMRI’s review and approval. For additional information, see the sections entitled “</w:t>
      </w:r>
      <w:r>
        <w:rPr>
          <w:rFonts w:ascii="Times New Roman;Times;serif" w:hAnsi="Times New Roman;Times;serif"/>
          <w:b w:val="false"/>
          <w:i/>
          <w:caps w:val="false"/>
          <w:smallCaps w:val="false"/>
          <w:color w:val="000000"/>
          <w:spacing w:val="4"/>
          <w:sz w:val="20"/>
        </w:rPr>
        <w:t>Description of New Eagle’s Business — New Eagle’s Small Modular Nuclear Reactor Technology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Description of New Eagle’s Business — Intellectual Property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 xml:space="preserve">Risk Factors — Risks Related to Our Business and Industry — Our licensed SMR technology is at an early stage, may never achieve commercial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viability, and loss of the license would terminate the company’s ability to pursue this business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Risk Factors — Risks Related to Our Business and Industry — We depend entirely on a single license for its SMR technology platform</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Risk Factors — Risks Related to Our Intellectual Property — If we fail to develop, gain approval for, protect or enforce its intellectual property or proprietary rights, its business and operating results could be harmed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Competitive Strengths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Clear advantage in Carbon-Free Baseload Power.   </w:t>
      </w:r>
      <w:r>
        <w:rPr>
          <w:rFonts w:ascii="Times New Roman;Times;serif" w:hAnsi="Times New Roman;Times;serif"/>
          <w:b w:val="false"/>
          <w:i w:val="false"/>
          <w:caps w:val="false"/>
          <w:smallCaps w:val="false"/>
          <w:color w:val="000000"/>
          <w:spacing w:val="4"/>
          <w:sz w:val="20"/>
        </w:rPr>
        <w:t xml:space="preserve">Nuclear power delivers unparalleled carbon-free baseload electricity, outperforming other renewables in reliability and consistency. With capacity factors above 90%, it operates continuously, unaffected by weather or seasonal variability. This ensures stable grid performance and energy security, even when wind and solar output fluctuate. Its high energy density reduces land use, while long fuel cycles limit supply interruptions. Unlike intermittent renewables, nuclear requires minimal backup generation, lowering system costs and complexity. As nations pursue deep decarbonization, nuclear’s ability to provide scalable, always-available clean power makes it the strongest foundation for a sustainable energy mix, complementing and stabilizing variable renewable generation sources.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Strong bipartisan support.   </w:t>
      </w:r>
      <w:r>
        <w:rPr>
          <w:rFonts w:ascii="Times New Roman;Times;serif" w:hAnsi="Times New Roman;Times;serif"/>
          <w:b w:val="false"/>
          <w:i w:val="false"/>
          <w:caps w:val="false"/>
          <w:smallCaps w:val="false"/>
          <w:color w:val="000000"/>
          <w:spacing w:val="4"/>
          <w:sz w:val="20"/>
        </w:rPr>
        <w:t xml:space="preserve">Nuclear power enjoys growing bipartisan political support in the United States, driven by its role in delivering reliable, carbon-free baseload electricity essential to meeting climate and energy security goals. Recent federal initiatives, including tax incentives, production credits, and funding for advanced reactor development, underscore long-term government commitment. Both major political parties increasingly recognize nuclear’s strategic value in strengthening domestic energy independence, reducing emissions, and maintaining global technological leadership. This favorable policy environment, reinforced by public-private partnerships and streamlined regulatory pathways, positions nuclear to benefit from sustained legislative and financial backing, enhancing its competitive position in the evolving U.S. energy landscape.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Potential Low-Cost Domestic Producer of Uranium.   </w:t>
      </w:r>
      <w:r>
        <w:rPr>
          <w:rFonts w:ascii="Times New Roman;Times;serif" w:hAnsi="Times New Roman;Times;serif"/>
          <w:b w:val="false"/>
          <w:i w:val="false"/>
          <w:caps w:val="false"/>
          <w:smallCaps w:val="false"/>
          <w:color w:val="000000"/>
          <w:spacing w:val="4"/>
          <w:sz w:val="20"/>
        </w:rPr>
        <w:t xml:space="preserve">The Aurora deposit is positioned to be a low cost domestic producer, supported by a combination of shallow deposit depth, favorable geology, and operational scale. The shallow depth reduces development and extraction costs, while favorable mineral characteristics enable efficient mining with minimal waste. Proximity to established infrastructure, including roads, power, and viable access to water, lowers capital requirements and accelerates timelines. Additionally, Aurora’s significant resource size allows for economies of scale, reducing per-unit costs and enhancing margins. This simplicity of the Aurora deposit positions the Company to remain competitive through commodity price cycles and to supply reliable, domestically sourced uranium to U.S. markets.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Integrated Solution.   </w:t>
      </w:r>
      <w:r>
        <w:rPr>
          <w:rFonts w:ascii="Times New Roman;Times;serif" w:hAnsi="Times New Roman;Times;serif"/>
          <w:b w:val="false"/>
          <w:i w:val="false"/>
          <w:caps w:val="false"/>
          <w:smallCaps w:val="false"/>
          <w:color w:val="000000"/>
          <w:spacing w:val="4"/>
          <w:sz w:val="20"/>
        </w:rPr>
        <w:t xml:space="preserve">New Eagle’s integrated strategy combines low-cost domestic uranium production with advanced SMR technology, creating a vertically aligned clean energy platform. Secure, in-house uranium supply enhances fuel cost stability and energy security, while SMR deployment delivers reliable, carbon-free baseload power. This unique combination positions New Eagle to capture value across the nuclear supply chain, mitigate market and supply risks, and leverage long-term demand growth for both uranium and next-generation nuclear power solutions.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Innovative SMR Technology.   </w:t>
      </w:r>
      <w:r>
        <w:rPr>
          <w:rFonts w:ascii="Times New Roman;Times;serif" w:hAnsi="Times New Roman;Times;serif"/>
          <w:b w:val="false"/>
          <w:i w:val="false"/>
          <w:caps w:val="false"/>
          <w:smallCaps w:val="false"/>
          <w:color w:val="000000"/>
          <w:spacing w:val="4"/>
          <w:sz w:val="20"/>
        </w:rPr>
        <w:t xml:space="preserve">New Eagle’s VSLLIM (1 – 10MWth) and SLIMM (10 – 100MWth) reactors will provide reliable, carbon-free power solutions for rapidly growing energy markets. Both designs use sodium-cooled, fast-spectrum cores with UN fuel, factory-built for rapid deployment by truck, rail, or barge, and capable of operating years without refueling (up to 92 years at low output). The reactors are walk-away safe by design, they run entirely on passive natural circulation cooling with redundant decay heat removal and auxiliary power generation. This modular, long-life platform is ideal for powering data centers, quantum computing, cryptocurrency mining, advanced automation, and industrial hubs, where uptime, scalability, and low-cost, high-density energy are essential.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Experienced Management Team.   </w:t>
      </w:r>
      <w:r>
        <w:rPr>
          <w:rFonts w:ascii="Times New Roman;Times;serif" w:hAnsi="Times New Roman;Times;serif"/>
          <w:b w:val="false"/>
          <w:i w:val="false"/>
          <w:caps w:val="false"/>
          <w:smallCaps w:val="false"/>
          <w:color w:val="000000"/>
          <w:spacing w:val="4"/>
          <w:sz w:val="20"/>
        </w:rPr>
        <w:t xml:space="preserve">New Eagle is led by a seasoned management team of mining executives with extensive experience in developing and operating large-scale resource projects. This leadership team’s combined knowledge in uranium production and SMR deployment positions New Eagle to efficiently execute its integrated strategy, mitigate operational risks, and capitalize on growing demand for clean, reliable nuclear energy solutions.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Competition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the uranium mining and SMR markets are highly competitive and rapidly evolving. In uranium mining, New Eagle faces competition from established participants with greater financial resources, technical capabilities, and operational scale. These competitors often benefit from diversified operations, longer operating histories, robust intellectual property portfolios, and lower-cost production. New Eagle’s primary domestic mining competitors include Energy Fuels Inc., Cameco Corp., Uranium Energy Corp., UR Energy Inc., and EnCore Energy Corp. Many of these entities are able to negotiate more favorable acquisition terms, execute strategic decisions rapidly, and allocate capital more effectively. Industry consolidation and strategic partnerships may further enhance their market positions.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SMR sector, New Eagle competes with multinational corporations such as Westinghouse Electric Company, General Electric, Rolls-Royce, and a range of innovative startups and technology developers such as Nano Nuclear Energy Inc., NuScale Power Corp., and Oklo Inc. These competitors possess deep technical expertise, established supply chains, and significant investment in research and development. The competitive environment is further shaped by government-sponsored demonstration projects, strategic alliances, and early commercial deployments.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see the section entitled “</w:t>
      </w:r>
      <w:r>
        <w:rPr>
          <w:rFonts w:ascii="Times New Roman;Times;serif" w:hAnsi="Times New Roman;Times;serif"/>
          <w:b w:val="false"/>
          <w:i/>
          <w:caps w:val="false"/>
          <w:smallCaps w:val="false"/>
          <w:color w:val="000000"/>
          <w:spacing w:val="4"/>
          <w:sz w:val="20"/>
        </w:rPr>
        <w:t>Risk Factors — Risks Related to Our Business and Industry — Intense competition in the mining and SMR markets could limit our ability to capture and retain market share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Sourcing and Suppliers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is actively building a dual supply chain to support both its uranium mining operations and its small modular nuclear reactor development business. For the mining segment, New Eagle is in the process of evaluating and engaging drilling companies, geological consultants, permitting experts, metallurgical test work firms, and engineering firms to provide services as the company continues to explore and develop the Aurora Uranium Project. For its SMR business, New Eagle intends to identify and assess suppliers of advanced nuclear-grade components, reactor pressure vessel manufacturers, specialized materials vendors, and engineering design firms with expertise in nuclear systems. In addition, New Eagle intends to seek partnerships with research institutions, technology licensors, and regulatory consultants to support the design, prototyping, and eventual commercialization of its SMR technology. As both business lines progress, New Eagle anticipates the need to qualify and manage a network of vendors capable of meeting the stringent quality, safety, and regulatory requirements unique to the nuclear energy sector.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Customers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does not have any customers at this time and does not expect to generate sales or revenue in the foreseeable future from either its mining or SMR business lines. For its uranium mining operations, New Eagle’s future customers are expected to include energy generation companies, utilities, and nuclear fuel fabricators seeking secure, domestic uranium supply. As its SMR business advances, New Eagle intends to engage with a broader range of potential customers, including commercial and industrial enterprises, data centers, remote communities, government agencies, and military installations interested in resilient, decentralized, and clean energy solutions. New Eagle plans to initiate dialogues with both traditional energy sector participants and emerging end users of nuclear energy, such as operators of artificial intelligence data centers and critical infrastructure, as its development progresses.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Growth Strategy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intends to grow its business by leveraging its competitive advantages in cost, size, and scale. New Eagle has a number of avenues to achieve its growth objectives: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Acquisition of Additional Domestic Uranium Deposits.   </w:t>
      </w:r>
      <w:r>
        <w:rPr>
          <w:rFonts w:ascii="Times New Roman;Times;serif" w:hAnsi="Times New Roman;Times;serif"/>
          <w:b w:val="false"/>
          <w:i w:val="false"/>
          <w:caps w:val="false"/>
          <w:smallCaps w:val="false"/>
          <w:color w:val="000000"/>
          <w:spacing w:val="4"/>
          <w:sz w:val="20"/>
        </w:rPr>
        <w:t xml:space="preserve">New Eagle’s growth strategy includes the targeted acquisition of additional domestic uranium deposits to expand its resource base and strengthen supply security. Leveraging its operational expertise, industry relationships, and low-cost production platform, New Eagle will seek to identify and acquire high-quality deposits with favorable geology and development potential.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disciplined acquisition approach is designed to increase production capacity, enhance economies of scale, and position the Company to meet rising U.S. demand.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Additional Deposits on the Existing Aurora and Cordex Land Package.</w:t>
      </w:r>
      <w:r>
        <w:rPr>
          <w:rFonts w:ascii="Times New Roman;Times;serif" w:hAnsi="Times New Roman;Times;serif"/>
          <w:b w:val="false"/>
          <w:i w:val="false"/>
          <w:caps w:val="false"/>
          <w:smallCaps w:val="false"/>
          <w:color w:val="000000"/>
          <w:spacing w:val="4"/>
          <w:sz w:val="20"/>
        </w:rPr>
        <w:t xml:space="preserve">   New Eagle expects to expand its Aurora and Cordex resource base through the exploration and discovery of additional uranium deposits within the existing land package. With favorable geology, underexplored target areas, and proven exploration expertise, New Eagle is well-positioned to identify new high-grade resources near existing operations. New Eagle believes this approach has the ability to further reduce costs as it leverages its existing infrastructure and permits.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Explore for New Elements and Metals at the Existing Aurora and Cordex Zone.</w:t>
      </w:r>
      <w:r>
        <w:rPr>
          <w:rFonts w:ascii="Times New Roman;Times;serif" w:hAnsi="Times New Roman;Times;serif"/>
          <w:b w:val="false"/>
          <w:i w:val="false"/>
          <w:caps w:val="false"/>
          <w:smallCaps w:val="false"/>
          <w:color w:val="000000"/>
          <w:spacing w:val="4"/>
          <w:sz w:val="20"/>
        </w:rPr>
        <w:t xml:space="preserve">   New Eagle believes there is the ability to develop and recover additional valuable minerals, such as lithium known to be contained in the project’s lakebeds, from its existing land package. Leveraging advanced metallurgical testing and processing technologies, New Eagle aims to unlock by-product revenue streams that can enhance project economics and reduce overall production costs. This multi-commodity approach maximizes the value of the resource, diversifies revenue, and positions New Eagle to benefit from growing demand for both clean energy fuels and critical battery materials.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New Technology Advancements.</w:t>
      </w:r>
      <w:r>
        <w:rPr>
          <w:rFonts w:ascii="Times New Roman;Times;serif" w:hAnsi="Times New Roman;Times;serif"/>
          <w:b w:val="false"/>
          <w:i w:val="false"/>
          <w:caps w:val="false"/>
          <w:smallCaps w:val="false"/>
          <w:color w:val="000000"/>
          <w:spacing w:val="4"/>
          <w:sz w:val="20"/>
        </w:rPr>
        <w:t xml:space="preserve">   Using New Eagle’s innovative SMR platform and robust intellectual property, New Eagle believes it is well positioned to make technological advancements over time. Building on the proven sodium-cooled, fast-spectrum foundation of VSLLIM and SLIMM, future developments may include new patents on advanced heat exchangers, modular fuel designs, enhanced passive safety systems, and higher-efficiency energy conversion cycles. These advancements will seek to strengthen performance, extend operational life, and expand applications, ensuring New Eagle remains at the forefront of liquid metal-cooled SMR innovation.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Sales and Marketing Efforts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Given the early stages of its mining and SMR businesses, New Eagle’s sales and marketing efforts are focused on building industry relationships and raising awareness of its capabilities. The company’s management team regularly attends conferences and industry events relevant to both uranium mining and advanced nuclear technologies, and holds meetings with industry professionals, investment banks, technology partners, research institutions, and the owners of other assets and related technologies. For the SMR business, New Eagle intends to engage with potential strategic partners, government stakeholders, and early adopter customers in sectors such as defense, data infrastructure, and remote power generation. These efforts are designed to position New Eagle as a credible supplier of both uranium and next-generation nuclear power solutions, and to lay the groundwork for future commercial agreements as its projects mature.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Intellectual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Eagle’s intellectual property portfolio is a critical asset underpinning both its uranium mining and SMR businesses. As of the date of this prospectus, New Eagle’s rights to the intellectual property associated with the Aurora Uranium Project, including acquired geological data, technical reports, and proprietary exploration methodologies, are contingent upon the successful exercise and closing of the Aurora Option Agreement. New Eagle does not currently own the Aurora Uranium Project or its related intellectual property, and its ability to acquire and utilize these assets is subject to the completion of the Transaction and satisfaction of all conditions precedent under the Aurora Option Agreement. If the Transaction does not close, New Eagle will not acquire any rights to the Aurora Uranium Project or its associated intellectual property.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its advanced nuclear technologies, New Eagle has secured, through an exclusive license agreement with UNMRI, the worldwide rights to a portfolio of patent applications and technologies covering the design, manufacture, and commercialization of SMRs and associated systems. This portfolio includes patent applications related to reactor core design, advanced heat exchangers, autonomous control systems, and other critical components necessary for the development and deployment of next-generation SMRs. Specifically, the SMR License Agreement includes one US utility patent application for the VSLLIM reactor and three provisional applications for processes underlying VSLLIM and SLIMM. The SLIMM technology itself is not the subject of any existing patent protection. The SMR License Agreement obligates New Eagle to maintain the financial and technical capability to diligently develop, manufacture, and commercialize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licensed technology, and to comply with ongoing reporting, royalty, and patent maintenance requirements. For additional information, see the sections entitled “</w:t>
      </w:r>
      <w:r>
        <w:rPr>
          <w:rFonts w:ascii="Times New Roman;Times;serif" w:hAnsi="Times New Roman;Times;serif"/>
          <w:b w:val="false"/>
          <w:i/>
          <w:caps w:val="false"/>
          <w:smallCaps w:val="false"/>
          <w:color w:val="000000"/>
          <w:spacing w:val="4"/>
          <w:sz w:val="20"/>
        </w:rPr>
        <w:t>Risk Factors — Risks Related to Our Business and Industry — Our licensed SMR technology is at an early stage, may never achieve commercial viability, and loss of the license would terminate the company’s ability to pursue this business,” “Risk Factors — Risks Related to Our Business and Industry — We depend entirely on a single license for its SMR technology platform</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Risk Factors — Risks Related to Our Intellectual Property — If we fail to develop, gain approval for, protect or enforce our intellectual property or proprietary rights, our business and operating results could be harmed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is committed to protecting its intellectual property and all corresponding rights globally, including any future trademarks, service marks, trade dress, logos, trade names, domain names, goodwill, patents, copyrights, works of authorship (whether or not copyrightable), software, trade secrets, know-how, and proprietary and other confidential information, together with all applications, registrations, renewals, extensions, improvements, and counterparts. As its business grows, New Eagle expects to implement a comprehensive intellectual property protection program, which may include: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applications for patents, trademarks, and copyrights in the United States and international jurisdictions to protect its proprietary technologies, brands, and innovations; </w:t>
      </w:r>
      <w:r>
        <mc:AlternateContent>
          <mc:Choice Requires="wps">
            <w:drawing>
              <wp:anchor behindDoc="0" distT="736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1"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and enforcing contractual restrictions, such as confidentiality, non-disclosure, and invention assignment agreements with employees, consultants, and strategic partners; </w:t>
      </w:r>
      <w:r>
        <mc:AlternateContent>
          <mc:Choice Requires="wps">
            <w:drawing>
              <wp:anchor behindDoc="0" distT="7366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2"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Relying on applicable laws and regulations, as well as administrative procedures, to secure, police, and enforce its intellectual property rights; </w:t>
      </w:r>
      <w:r>
        <mc:AlternateContent>
          <mc:Choice Requires="wps">
            <w:drawing>
              <wp:anchor behindDoc="0" distT="736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3"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internal policies and procedures to safeguard trade secrets, proprietary data, and sensitive technical information;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4"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Monitoring and, where necessary, taking action against potential infringement or misappropriation of our intellectual property by third parties.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5"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SMR License Agreement with UNMRI includes customary confidentiality, indemnification, and insurance provisions, and provides for certain rights retained by the University of New Mexico and the United States government, including research, educational, and “march-in” rights for federally funded inventions. New Eagle is required to comply with all diligence, reporting, and royalty obligations under the license to maintain its exclusive rights. As New Eagle continues to advance both its mining and SMR business lines, the protection, management, and strategic use of its intellectual property will be essential to its ability to innovate, compete, and create long-term value for its stakeholders. New Eagle expects to increase its focus and investment in intellectual property protection as its business and technology portfolio expand. However, New Eagle’s ability to acquire and utilize the intellectual property associated with the Aurora Uranium Project remains subject to the successful closing of the Aurora Option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Government Regulations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Eagle’s business operations are subject to an extensive and evolving array of government regulations at the federal, state, and international levels. These regulations govern virtually every aspect of the company’s activities, including the development, licensing, construction, operation, and commercialization of both its uranium mining projects and its SMR technology. The regulatory environment applicable to New Eagle is complex and highly specialized, reflecting the unique safety, environmental, and security considerations inherent in the nuclear energy and mining industries. Compliance with these regulatory requirements is fundamental to New Eagle’s ability to advance its projects, maintain its licenses and permits, and achieve its strategic objectives.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Uranium Mining Regulations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Aurora Uranium Project is subject to extensive laws and regulations overseen and enforced by multiple federal, state, and local authorities. These laws govern exploration, construction, extraction, recovery, processing, exports, taxes, labor standards, occupational health and safety, waste disposal, environmental protection and remediation, the safeguarding of endangered and protected species, the handling of toxic and hazardous substances, and other matters. Activities involving uranium minerals, such as exploration, extraction, recovery, and processing, carry specific risks and potential liabilities related to perceived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impacts and waste disposal. Compliance with these laws and regulations may impose substantial costs on New Eagle and expose the company to significant potential liabilities. Any changes to the regulatory framework, or shifts in regulatory attitudes or interpretations, could require New Eagle to expend significant resources to address new rules or standards, which could have a material adverse effect on its business operations. Nonetheless, maintaining compliance with government regulations, including environmental requirements, is intrinsic to New Eagle’s daily operations at the Aurora Uranium Project and factors into all major capital expenditures, project assessments, and cost and earnings projections. New Eagle does not believe that these regulatory requirements place it at a competitive disadvantage relative to other uranium mining companies operating in the United States, as its competitors face similarly rigorous federal, state, and local regulations.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Eagle’s operations at the Aurora Uranium Project in Malheur County, Oregon, are also subject to federal, state, and local environmental regulations governing exploration, development, and potential future extraction activities. These laws and permitting requirements address emissions, water quality, waste management, site reclamation, and worker safety, among other factors. Compliance with these regulations may increase operational costs, delay timelines, or impose restrictions on New Eagle’s activities. At the federal level, uranium recovery is regulated by the Nuclear Regulatory Commission, or NRC, under the Atomic Energy Act. However, Oregon is an NRC Agreement State, delegating primary regulatory authority to the Oregon Health Authority, or OHA, for licensing and oversight of radioactive materials, including uranium. This requires adherence to OHA-administered standards, which incorporate NRC rules, such as licensing for uranium recovery facilities, groundwater protection through permits like the Groundwater Discharge Permit, or GWDP, and air quality controls managed by the Oregon Department of Environmental Quality referred to as the DEQ.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project advances, New Eagle will engage with multiple agencies, including the BLM, for public land use compliance, the EPA for emissions standards, and the Mine Safety and Health Administration, or MSHA, for worker safety protocols. Oregon also mandates rigorous site reclamation plans under the Mineral Land Regulation and Reclamation, or MLRR, Program, enforced by the DOGAMI. This program requires financial assurances to ensure post-operational environmental restoration. To date, exploration activities on the property have complied with all applicable regulations without material deviations from industry cost norms. However, future phases, such as extraction or processing, would require additional permits (e.g., DEQ’s 700-PM Water Quality General Permit for mining discharges), heightened oversight, and potentially more stringent safeguards, introducing risks of delays or cost escalations. New Eagle intends to collaborate proactively with regulators, including OHA, DEQ, and DOGAMI, to align the project with evolving standards. While New Eagle does not believe that any material compliance issues have arisen thus far, the dynamic regulatory landscape in Oregon and at the federal level necessitates ongoing diligence to mitigate risks. Changes in policy (e.g., updates to Oregon’s radioactive materials licensing fees), permit approval timelines, or legal challenges could impact New Eagle’s plans. The project’s location in a jurisdiction without uranium mining moratoriums positions it favorably, but proactive engagement with stakeholders and regulators remains critical to advancing New Eagle’s mission of becoming a reliable domestic uranium supplier.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Nuclear Energy Technologies Regulation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regulatory environment governing nuclear technologies is complex, highly specialized, and subject to significant oversight by multiple governmental authorities. Compliance with these regulations is critical to New Eagle’s operations and may materially impact the company’s ability to advance, commercialize, and derive economic benefit from its SMR technology. At the federal level, the principal regulatory authority overseeing the design, licensing, construction, and operation of nuclear reactors in the United States is the U.S. Nuclear Regulatory Commission, or the NRC. The NRC’s jurisdiction extends to all civilian nuclear facilities, including SMRs, and encompasses a broad range of requirements related to nuclear safety, security, environmental protection, and emergency preparedness. To progress from conceptual design to commercial deployment, New Eagle must obtain a series of NRC approvals, including but not limited to: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Design Certification</w:t>
      </w:r>
      <w:r>
        <w:rPr>
          <w:rFonts w:ascii="Times New Roman;Times;serif" w:hAnsi="Times New Roman;Times;serif"/>
          <w:b w:val="false"/>
          <w:i w:val="false"/>
          <w:caps w:val="false"/>
          <w:smallCaps w:val="false"/>
          <w:color w:val="000000"/>
          <w:spacing w:val="4"/>
          <w:sz w:val="20"/>
        </w:rPr>
        <w:t xml:space="preserve">:   Before a new reactor design can be constructed, it must undergo a rigorous design certification process. This process requires the submission of comprehensive technical </w:t>
      </w:r>
      <w:r>
        <mc:AlternateContent>
          <mc:Choice Requires="wps">
            <w:drawing>
              <wp:anchor behindDoc="0" distT="7874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6"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documentation demonstrating that the reactor meets all applicable safety and performance standards. The NRC may require additional data, impose new review criteria, or convene contested hearings at any stage of the process.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Combined License</w:t>
      </w:r>
      <w:r>
        <w:rPr>
          <w:rFonts w:ascii="Times New Roman;Times;serif" w:hAnsi="Times New Roman;Times;serif"/>
          <w:b w:val="false"/>
          <w:i w:val="false"/>
          <w:caps w:val="false"/>
          <w:smallCaps w:val="false"/>
          <w:color w:val="000000"/>
          <w:spacing w:val="4"/>
          <w:sz w:val="20"/>
        </w:rPr>
        <w:t xml:space="preserve">:   For the construction and operation of a specific SMR facility, a combined license, or COL, must be obtained. The COL process involves detailed site-specific safety, security, and environmental reviews, as well as public participation and potential adjudicatory proceedings. </w:t>
      </w:r>
      <w:r>
        <mc:AlternateContent>
          <mc:Choice Requires="wps">
            <w:drawing>
              <wp:anchor behindDoc="0" distT="7874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7"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Ongoing Compliance</w:t>
      </w:r>
      <w:r>
        <w:rPr>
          <w:rFonts w:ascii="Times New Roman;Times;serif" w:hAnsi="Times New Roman;Times;serif"/>
          <w:b w:val="false"/>
          <w:i w:val="false"/>
          <w:caps w:val="false"/>
          <w:smallCaps w:val="false"/>
          <w:color w:val="000000"/>
          <w:spacing w:val="4"/>
          <w:sz w:val="20"/>
        </w:rPr>
        <w:t xml:space="preserve">:   Once licensed, SMR facilities are subject to continuous NRC oversight, including inspections, reporting obligations, and compliance with evolving regulatory requirements. The NRC retains the authority to modify, suspend, or revoke licenses in response to safety concerns or non-compliance. </w:t>
      </w:r>
      <w:r>
        <mc:AlternateContent>
          <mc:Choice Requires="wps">
            <w:drawing>
              <wp:anchor behindDoc="0" distT="7747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8"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NRC requirements, New Eagle’s SMR technology may be subject to oversight by other federal agencies, including the Department of Energy for matters involving nuclear research, development, and demonstration projects, and the Department of Transportation for the transport of nuclear materials. The U.S. Environmental Protection Agency may also impose requirements related to radiological emissions, waste management, and environmental impact assessments.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federal regulations, the states in which New Eagle’s SMRs or demonstration plants may operate in the future could exercise regulatory authority over certain aspects of nuclear facility siting, construction, and operation, particularly with respect to land use, environmental permitting, and public health and safety. While the NRC maintains exclusive jurisdiction over radiological safety, state agencies may impose additional requirements related to non-radiological environmental impacts, water use, air quality, and emergency response planning. The interplay between federal preemption and state authority can introduce additional complexity and potential for regulatory delay.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if New Eagle pursues commercialization of its SMR technology outside the United States, the company will be subject to the nuclear regulatory regimes of each host country. International deployment of nuclear technologies typically requires compliance with the International Atomic Energy Agency safety standards, as well as country-specific licensing, export control, and non-proliferation requirements. Many jurisdictions require local regulatory approvals analogous to the NRC’s design certification and operating license processes, which may involve additional technical, security, and environmental reviews. Furthermore, international treaties and agreements, such as the Treaty on the Non-Proliferation of Nuclear Weapons, may impose restrictions on the transfer of nuclear technology and materials.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Eagle’s ability to successfully develop, commercialize, and deploy its SMR technology is highly dependent on its ongoing compliance with a complex and evolving regulatory framework at the federal, state, and international levels, as well as its adherence to the terms of its intellectual property license. Regulatory delays, changes in law or policy, or loss of license rights could materially and adversely affect New Eagle’s business, financial condition, and results of operations. The company intends to allocate significant resources to regulatory compliance and to engage proactively with relevant authorities to mitigate these risks and support the advancement of its SMR technology.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Non-Mining Properties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primarily operates out of a shared office space in Vancouver, British Columbia, where most of its management is currently based. The company also maintains a Reno, Nevada office to provide a workspace for management during visits to asset sites. However, office space is not critical to New Eagle’s operations since the company’s management team can work from anywhere.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Human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New Eagle’s personnel consists of its Chief Executive Officer, Chief Financial Officer, Vice President of Development and seven non-executive officers, all of whom are engaged as independent contractors. As New Eagle executes on its growth strategy, in particular with respect to developing its SMR program, the company will seek to attract, retain and develop top quality talent with relevant nuclear industry education and expertise as new employees.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Indebtedness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does not have any indebtedness.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Proceedings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may become involved in various lawsuits and legal proceedings which arise in the ordinary course of business. However, litigation is subject to inherent uncertainties, and an adverse result in these or other matters may arise from time to time that may harm its business. New Eagle is currently not aware of any such legal proceedings or claims that it believe will have a material adverse effect on its business, financial condition, or operating results.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Seasonality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Seasonal fluctuations, such as extreme weather conditions, can disrupt New Eagle’s mining development operations, leading to operational delays, increased costs, and reduced productivity. These disruptions may hinder New Eagle’s ability to meet development targets and achieve the company’s strategic growth objectives. Additionally, once mining operations have begun, seasonal variations in demand within the nuclear energy sector could affect New Eagle’s sales and profitability. Seasonality does not materially affect New Eagle’s SMR technology business.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DAEO"/>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 and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names, ages and positions of the directors and executive officers of New Eagle. </w:t>
      </w:r>
    </w:p>
    <w:tbl>
      <w:tblPr>
        <w:tblW w:w="6912" w:type="dxa"/>
        <w:jc w:val="left"/>
        <w:tblInd w:w="1393" w:type="dxa"/>
        <w:tblLayout w:type="fixed"/>
        <w:tblCellMar>
          <w:top w:w="0" w:type="dxa"/>
          <w:left w:w="0" w:type="dxa"/>
          <w:bottom w:w="50" w:type="dxa"/>
          <w:right w:w="0" w:type="dxa"/>
        </w:tblCellMar>
      </w:tblPr>
      <w:tblGrid>
        <w:gridCol w:w="1823"/>
        <w:gridCol w:w="109"/>
        <w:gridCol w:w="109"/>
        <w:gridCol w:w="565"/>
        <w:gridCol w:w="109"/>
        <w:gridCol w:w="109"/>
        <w:gridCol w:w="3934"/>
        <w:gridCol w:w="154"/>
      </w:tblGrid>
      <w:tr>
        <w:trPr/>
        <w:tc>
          <w:tcPr>
            <w:tcW w:w="182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34"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23" w:type="dxa"/>
            <w:tcBorders/>
            <w:tcMar>
              <w:bottom w:w="0" w:type="dxa"/>
            </w:tcMar>
            <w:vAlign w:val="center"/>
          </w:tcPr>
          <w:p>
            <w:pPr>
              <w:pStyle w:val="TableContents"/>
              <w:bidi w:val="0"/>
              <w:spacing w:before="0" w:after="283"/>
              <w:jc w:val="left"/>
              <w:rPr>
                <w:spacing w:val="4"/>
              </w:rPr>
            </w:pPr>
            <w:r>
              <w:rPr>
                <w:spacing w:val="4"/>
              </w:rPr>
              <w:t xml:space="preserve">Mark Mukhija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before="0" w:after="283"/>
              <w:jc w:val="left"/>
              <w:rPr>
                <w:spacing w:val="4"/>
              </w:rPr>
            </w:pPr>
            <w:r>
              <w:rPr>
                <w:spacing w:val="4"/>
              </w:rPr>
              <w:t xml:space="preserve">Chief Executive Officer and Chairman </w:t>
            </w:r>
          </w:p>
        </w:tc>
        <w:tc>
          <w:tcPr>
            <w:tcW w:w="154" w:type="dxa"/>
            <w:tcBorders/>
            <w:tcMar>
              <w:bottom w:w="0" w:type="dxa"/>
            </w:tcMar>
            <w:vAlign w:val="center"/>
          </w:tcPr>
          <w:p>
            <w:pPr>
              <w:pStyle w:val="TableContents"/>
              <w:bidi w:val="0"/>
              <w:spacing w:before="0" w:after="283"/>
              <w:jc w:val="left"/>
              <w:rPr/>
            </w:pPr>
            <w:r>
              <w:rPr/>
              <w:t>​</w:t>
            </w:r>
          </w:p>
        </w:tc>
      </w:tr>
      <w:tr>
        <w:trPr/>
        <w:tc>
          <w:tcPr>
            <w:tcW w:w="1823" w:type="dxa"/>
            <w:tcBorders/>
            <w:tcMar>
              <w:bottom w:w="0" w:type="dxa"/>
            </w:tcMar>
            <w:vAlign w:val="center"/>
          </w:tcPr>
          <w:p>
            <w:pPr>
              <w:pStyle w:val="TableContents"/>
              <w:bidi w:val="0"/>
              <w:spacing w:before="0" w:after="283"/>
              <w:jc w:val="left"/>
              <w:rPr>
                <w:spacing w:val="4"/>
              </w:rPr>
            </w:pPr>
            <w:r>
              <w:rPr>
                <w:spacing w:val="4"/>
              </w:rPr>
              <w:t xml:space="preserve">Ajaypreet Toor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1823" w:type="dxa"/>
            <w:tcBorders/>
            <w:tcMar>
              <w:bottom w:w="0" w:type="dxa"/>
            </w:tcMar>
            <w:vAlign w:val="center"/>
          </w:tcPr>
          <w:p>
            <w:pPr>
              <w:pStyle w:val="TableContents"/>
              <w:bidi w:val="0"/>
              <w:spacing w:before="0" w:after="283"/>
              <w:jc w:val="left"/>
              <w:rPr>
                <w:spacing w:val="4"/>
              </w:rPr>
            </w:pPr>
            <w:r>
              <w:rPr>
                <w:spacing w:val="4"/>
              </w:rPr>
              <w:t xml:space="preserve">Robert Kaplan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823" w:type="dxa"/>
            <w:tcBorders/>
            <w:tcMar>
              <w:bottom w:w="0" w:type="dxa"/>
            </w:tcMar>
            <w:vAlign w:val="center"/>
          </w:tcPr>
          <w:p>
            <w:pPr>
              <w:pStyle w:val="TableContents"/>
              <w:bidi w:val="0"/>
              <w:spacing w:before="0" w:after="283"/>
              <w:jc w:val="left"/>
              <w:rPr>
                <w:spacing w:val="4"/>
              </w:rPr>
            </w:pPr>
            <w:r>
              <w:rPr>
                <w:spacing w:val="4"/>
              </w:rPr>
              <w:t xml:space="preserve">Michael Kobler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823" w:type="dxa"/>
            <w:tcBorders/>
            <w:tcMar>
              <w:bottom w:w="0" w:type="dxa"/>
            </w:tcMar>
            <w:vAlign w:val="center"/>
          </w:tcPr>
          <w:p>
            <w:pPr>
              <w:pStyle w:val="TableContents"/>
              <w:bidi w:val="0"/>
              <w:spacing w:before="0" w:after="283"/>
              <w:jc w:val="left"/>
              <w:rPr>
                <w:spacing w:val="4"/>
              </w:rPr>
            </w:pPr>
            <w:r>
              <w:rPr>
                <w:spacing w:val="4"/>
              </w:rPr>
              <w:t xml:space="preserve">Brian Goldmeier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before="0" w:after="283"/>
              <w:jc w:val="left"/>
              <w:rPr/>
            </w:pPr>
            <w:r>
              <w:rPr>
                <w:spacing w:val="4"/>
              </w:rPr>
              <w:t>Director</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23" w:type="dxa"/>
            <w:tcBorders/>
            <w:tcMar>
              <w:bottom w:w="0" w:type="dxa"/>
            </w:tcMar>
            <w:vAlign w:val="center"/>
          </w:tcPr>
          <w:p>
            <w:pPr>
              <w:pStyle w:val="TableContents"/>
              <w:bidi w:val="0"/>
              <w:spacing w:before="0" w:after="283"/>
              <w:jc w:val="left"/>
              <w:rPr>
                <w:spacing w:val="4"/>
              </w:rPr>
            </w:pPr>
            <w:r>
              <w:rPr>
                <w:spacing w:val="4"/>
              </w:rPr>
              <w:t xml:space="preserve">Jeffrey Lipton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68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823" w:type="dxa"/>
            <w:tcBorders/>
            <w:tcMar>
              <w:bottom w:w="0" w:type="dxa"/>
            </w:tcMar>
            <w:vAlign w:val="center"/>
          </w:tcPr>
          <w:p>
            <w:pPr>
              <w:pStyle w:val="TableContents"/>
              <w:bidi w:val="0"/>
              <w:spacing w:before="0" w:after="283"/>
              <w:jc w:val="left"/>
              <w:rPr>
                <w:spacing w:val="4"/>
              </w:rPr>
            </w:pPr>
            <w:r>
              <w:rPr>
                <w:spacing w:val="4"/>
              </w:rPr>
              <w:t xml:space="preserve">Kuljit (Jeet) Basi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before="0" w:after="283"/>
              <w:jc w:val="left"/>
              <w:rPr/>
            </w:pPr>
            <w:r>
              <w:rPr>
                <w:spacing w:val="4"/>
              </w:rPr>
              <w:t>Director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Mark Mukhija, P.Eng.,</w:t>
      </w:r>
      <w:r>
        <w:rPr>
          <w:rFonts w:ascii="Times New Roman;Times;serif" w:hAnsi="Times New Roman;Times;serif"/>
          <w:b w:val="false"/>
          <w:i w:val="false"/>
          <w:caps w:val="false"/>
          <w:smallCaps w:val="false"/>
          <w:color w:val="000000"/>
          <w:spacing w:val="4"/>
          <w:sz w:val="20"/>
        </w:rPr>
        <w:t xml:space="preserve"> has served as our Chief Executive Officer and a director New Eagle since the Business Combination, and previously served as Chief Executive Officer and a member of our board of directors of Eagle Energy since December 2023. Mr. Mukhija was appointed as the Chairman of the Board in March 2026. Mr. Mukhija has also served as the Global Head of Business Development for Plotlogic, a mining technology company which utilizes artificial intelligence technology aimed at sustainably increasing mineral production and reducing waste from June 2023 to August 2024. Mr. Mukhija was the General Manager Australia (January 2020 to May 2023) and Regional Manager (September 2018 to January 2020) for Motion Metrics Pty Australia Ltd., an industrial artificial intelligence and machine learning company catering to the mining industry with a specific focus on safety and productivity. Mr. Mukhija was responsible for the P&amp;L, business development, project management, and logistics of the Motion Metrics (Australia) operations. From 2014 to 2015, Mr. Mukhija began at TransAlta as the Engineering Team Leader at the Sunhills Mine with 14 direct reports and then moved into a capital planning supervisory role where he was responsible for a $60 million annual sustaining capital budget for the operation. From 2008 to 2013, Mr. Mukhija was responsible for life of mine planning and asset value optimization at BHP. Mr. Mukhija also previously worked at global mining companies such as Barrick (2007) and Teck Resources (2006). He currently serves on the board of the following public companies: Tactical Resources Corp. (CSE:RARE) (OTC:USREF) and POWR Lithium Corp. (CSE: POWR) (OTC:CSKYF). Mr. Mukhija is a Professional Engineer and graduate from the University of British Columbia with a Bachelor of Applied Science in Mining Engineering (2003) and has passed Level I of the CFA Program. We believe that Mr. Mukhija, given his extensive experience in the global mining and energy sectors, and his senior leadership roles overseeing operations, capital planning, and business development, is qualified to serve as a member of our Board.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Ajaypreet Toor,</w:t>
      </w:r>
      <w:r>
        <w:rPr>
          <w:rFonts w:ascii="Times New Roman;Times;serif" w:hAnsi="Times New Roman;Times;serif"/>
          <w:b w:val="false"/>
          <w:i w:val="false"/>
          <w:caps w:val="false"/>
          <w:smallCaps w:val="false"/>
          <w:color w:val="000000"/>
          <w:spacing w:val="4"/>
          <w:sz w:val="20"/>
        </w:rPr>
        <w:t xml:space="preserve"> CPA, has served as Chief Financial Officer of New Eagle since the Business Combination, and previously served as Chief Financial Officer of Eagle Energy since October 2025. Mr. Toor is a Chartered Professional Accountant (CPA) with over nine years of experience in corporate finance, financial reporting, and public company compliance within the mining and technology sectors. He has served as Director, Chief Financial Officer, and Corporate Secretary of NextGen Digital Platforms Inc. (CSE: NXT; OTCQB: NXTDF) since December 2024; he resigned his positions in December 2025. Mr. Toor also served as Chief Financial Officer and Corporate Secretary of American Tungsten Corp. (CSE: TUNG; OTCQB: TUNGF) beginning in September 2024 and as a Director beginning in November 2024; he resigned as Chief Financial Officer in July 2025 and as Director and Corporate Secretary in October 2025. In addition, from February 2023 to January 2025, he served as Chief Financial Officer and Corporate Secretary of Rush Gold Corp., at the time a private junior mining exploration company, where he assisted with financial reporting, audit coordination, and regulatory filings. Mr. Toor previously held accounting roles with Windset Farms from January 2024 to June 2025 and with BroadbandTV Corp. (rebranded as RHEI, formerly TSX: BBTV) from March 2022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December 2023. Earlier in his career, from September 2017 to December 2020, he was a Corporate Finance Analyst at Baron Global Financial Canada Ltd., providing financial reporting and advisory services to public issuers completing listings and financings, and from 2016 to 2017 articled with MNP LLP, where he gained audit and tax experience. Mr. Toor obtained a Bachelor of Business Administration in Accounting from Simon Fraser University’s Beedie School of Business in 2017 and successfully completed the Common Final Examination (CFE) in 2019, required for the CPA designation in Canada.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Non-Executive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Michael Kobler</w:t>
      </w:r>
      <w:r>
        <w:rPr>
          <w:rFonts w:ascii="Times New Roman;Times;serif" w:hAnsi="Times New Roman;Times;serif"/>
          <w:b w:val="false"/>
          <w:i w:val="false"/>
          <w:caps w:val="false"/>
          <w:smallCaps w:val="false"/>
          <w:color w:val="000000"/>
          <w:spacing w:val="4"/>
          <w:sz w:val="20"/>
        </w:rPr>
        <w:t xml:space="preserve"> has served as an independent director of New Eagle since the Business Combination. Mr. Kobler currently serves as Chief Executive Officer of Mogul Mountain Ventures Corp., a privately held exploration and development company focused on gold, silver, lithium, and rare earth elements in the San Antonio Mountains of Nevada, a role he has held since August 2023. He is also the Founder and Chief Executive Officer of Global Subsurface Strategies, a consulting firm specializing in energy metals exploration and development, where he has served since April 2016. In addition, Mr. Kobler is the Founder and Chief Executive Officer of Canamera Inc., an early-stage resource development company with exploration projects in Uruguay, Paraguay, and Brazil, a role he has held since March 2022. Mr. Kobler has served as a member of the board directors of United Lithium Corp. (CSE: ULTH), a publicly traded lithium exploration company, since May 2023. From March 2016 to March 2022, Mr. Kobler served as Co-Founder and Chief Executive Officer of American Lithium Corp. (TSXV: LI), where he led the discovery and early development of the TLC Lithium Project in Nevada — one of the largest known lithium deposits in North America. Under his leadership, American Lithium grew from inception to a peak market capitalization of approximately CAD $1.2 billion. Earlier in his career, Mr. Kobler co-founded and served as Chief Executive Officer of Osum Oil Sands Corp. from 2004 to 2007, helping grow the company’s valuation to over CAD $2 billion. He has also held senior leadership roles at Underground Energy, Inc. and Underground Construction Managers, oil and gas exploration and development firms. From 2013 to 2016, he worked as a Resident Engineer at McMillen Jacobs Associates, where he contributed to large-scale tunneling and infrastructure projects. Mr. Kobler holds a Bachelor of Science in Mining Engineering from Montana Technological University. He is also the named inventor on multiple U.S. patents related to mining and hydrocarbon extraction methods. We believe Mr. Kobler’s extensive experience in mineral exploration, project development, and capital markets make him well qualified to serve on New Eagle’s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Brian Goldmeier</w:t>
      </w:r>
      <w:r>
        <w:rPr>
          <w:rFonts w:ascii="Times New Roman;Times;serif" w:hAnsi="Times New Roman;Times;serif"/>
          <w:b w:val="false"/>
          <w:i w:val="false"/>
          <w:caps w:val="false"/>
          <w:smallCaps w:val="false"/>
          <w:color w:val="000000"/>
          <w:spacing w:val="4"/>
          <w:sz w:val="20"/>
        </w:rPr>
        <w:t xml:space="preserve"> has served as an independent director of New Eagle since the Business Combination. Mr. Goldmeier is the founder and president of BYG Strategies, Inc., a strategic advisory and political consultancy firm headquartered in Miami, Florida, which he founded in November 2010. Through his firm, Mr. Goldmeier advises public and private sector clients across the United States on market entry, expansion strategies, capital development, and stakeholder engagement. He has extensive experience supporting early-stage companies, including those in the technology, cryptocurrency, and financial services sectors, and has worked closely with C-suite executives and corporate boards to advance growth strategies and public-private initiatives. Mr. Goldmeier has served as a senior advisor and principal fundraiser to numerous political campaigns, issue-based initiatives, and nonprofit organizations. Over the course of his career, he has led efforts that have raised more than $300 million for political and policy campaigns and has supported capital raises and business development projects valued at over $500 million. His experience includes structuring and advising on complex multi-stakeholder initiatives, public-private partnerships, and major investment and infrastructure projects. Mr. Goldmeier is also engaged in civic and professional training, offering strategic networking and fundraising guidance to elected officials, trade associations, and business coalitions. He is widely regarded for his ability to navigate government relations, investment strategy, and corporate positioning at both the local and national level holds a Master of Business Administration and a Bachelor of Science in Sports Management, both from Endicott College. We believe Mr. Goldmeier’s extensive experience in strategic advisory, capital development, and public-private initiatives makes him well qualified to serve on New Eagle’s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Jeffrey Lipton</w:t>
      </w:r>
      <w:r>
        <w:rPr>
          <w:rFonts w:ascii="Times New Roman;Times;serif" w:hAnsi="Times New Roman;Times;serif"/>
          <w:b w:val="false"/>
          <w:i w:val="false"/>
          <w:caps w:val="false"/>
          <w:smallCaps w:val="false"/>
          <w:color w:val="000000"/>
          <w:spacing w:val="4"/>
          <w:sz w:val="20"/>
        </w:rPr>
        <w:t xml:space="preserve"> has served as an independent director of New Eagle since the Business Combination. Mr. Lipton has served as Chief Legal Officer of Abaxx Technologies Inc. since 2018. From 2014 to 2018, he was President of Fordham Hillsworth Financial Services Inc., a financial services firm. Mr. Lipton is both a lawyer and a financial analyst with experience in various areas of investment management. He holds a Bachelor of Arts from the University of Western Ontario (1979), a Master of Business Administration (1981),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 Bachelor of Laws (1984) from the University of Windsor. He was admitted to the Law Society of Upper Canada in 1986 and as a Solicitor of the Supreme Court of England and Wales in 2007. Mr. Lipton has held the Chartered Financial Analyst designation since 1987. We believe Mr. Lipton’s extensive legal and financial experience, including his background in investment management and corporate governance, make him well qualified to serve on New Eagle’s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Robert Kaplan</w:t>
      </w:r>
      <w:r>
        <w:rPr>
          <w:rFonts w:ascii="Times New Roman;Times;serif" w:hAnsi="Times New Roman;Times;serif"/>
          <w:b w:val="false"/>
          <w:i w:val="false"/>
          <w:caps w:val="false"/>
          <w:smallCaps w:val="false"/>
          <w:color w:val="000000"/>
          <w:spacing w:val="4"/>
          <w:sz w:val="20"/>
        </w:rPr>
        <w:t xml:space="preserve"> has served as an independent director of New Eagle since the Business Combination, and previously served as Chief Financial Officer and Vice President of Business Development of SVII. Mr. Kaplan served as the Vice President of Business Development of Spring Valley I from its inception in November 2020 until the closing of the NuScale Merger in May 2022. Mr. Kaplan has also served as the Chief Operating Officer and Head of Business Development of Spring Valley III since June 2025. Mr. Kaplan has over 20 years of investment banking experience in the Sustainability industry. Mr. Kaplan has been involved in over 60 transactions totaling approximately $6 billion in transaction value, with notable deals including First Solar, Plug Power, FuelCell Energy, Renewable Energy Group and SunPower Corporation. Mr. Kaplan was most recently Managing Director of Clean Technologies/Renewables at Stifel Financial Corp. (“Stifel”). In this role, Mr. Kaplan was responsible for the firm’s capital markets and advisory services in various sustainability subsectors, including clean energy, biofuels, energy storage, energy efficiency, mobility and environmental technologies. He joined Stifel in 2010 in connection with Stifel’s acquisition of Thomas Weisel Partners Group, Inc. (“TWP”) in 2010. Mr. Kaplan joined TWP in 2007 as a Vice President in the Technology investment banking group with a focus on sustainable technologies. Prior to joining TWP, Mr. Kaplan started his investment banking career at First Albany where he was a founding member of one of the first Sustainability-focused banking franchises on Wall Street. During his tenure at First Albany, he completed many of the industry’s first public offerings in various sustainability subsectors, such as solar, alternative fuels, mobility, fuel cells and the smart grid. Mr. Kaplan received a B.S. in Finance from Lehigh University and an M.B.A. from the NYU Stern School of Business. We believe Mr. Kaplan is qualified to serve on our Board due to his extensive experience in investment banking and capital markets within the sustainability and clean energy sectors.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Kuljit (Jeet) Basi </w:t>
      </w:r>
      <w:r>
        <w:rPr>
          <w:rFonts w:ascii="Times New Roman;Times;serif" w:hAnsi="Times New Roman;Times;serif"/>
          <w:b w:val="false"/>
          <w:i w:val="false"/>
          <w:caps w:val="false"/>
          <w:smallCaps w:val="false"/>
          <w:color w:val="000000"/>
          <w:spacing w:val="4"/>
          <w:sz w:val="20"/>
        </w:rPr>
        <w:t xml:space="preserve">was appointed as a director of New Eagle on April 6, 2026. There are no arrangements or understandings between Mr. Basi and any other person pursuant to which Mr. Basi was selected as a director. There are no family relationships between Mr. Basi and any of the Company’s officers or directors. New Eagle anticipates that Mr. Basi will receive the right to 56,805 Earnout Shares as his pro rata share of Eagle equity through SVK Metrix Inc., a British Columbia corporation owned by Mr. Basi. Except as disclosed in the immediately preceding sentence and the section titled “Certain Relationships and Related Party Transactions,” there are no transactions in which Mr. Basi has an interest that would require disclosure under Item 404(a) of Regulation S-K.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Basi has served as the Vice President of Project Development of Eagle Energy since April 1, 2024. Mr. Basi is an established mining industry professional with over 18 years of technical leadership experience in global public mining companies including Newmont Corporation (“Newmont”), Goldcorp Inc. (“Goldcorp”) and Teck Resources Ltd. (“Teck”). Mr. Basi has a passion for growing a collaborative culture of technical excellence focused on maximizing net asset values. From March 2022 to present, Mr. Basi has served as the Chief Executive Officer and a director of Modern Mining Technology Corp, a private company which has developed a process to extract precious metals from electronic waste. He is also a director and Executive Chairman of Tactical Resources Corp., a position he has held since November 2020. Prior thereto, from July 2019 to February 2020, Mr. Basi held the position of Senior Advisor, Newmont North America, where he was responsible for implementing industry leading best practices in the areas of technical services, project development and strategic planning across all of Newmont’s Canadian, U.S. and Mexican assets. Prior thereto, from February 2011 to June 2019, Mr. Basi held various positions with Goldcorp including the position of Corporate Manager of Processing &amp; Metallurgy. During his eight-year tenure with Goldcorp, Mr. Basi established a track record of delivering bottom-line growth across major assets within Goldcorp’s global portfolio. Prior to Goldcorp, Mr. Basi worked, from September 2006 to January 2011, at Teck’s Highland Valley Copper operation where he most notably was involved in the mill optimization and expansion projects. Mr. Basi is an industry professional and has co-authored multiple publications within the technical community. Mr. Basi obtained his Bachelor of Applied Science in Mining and Mineral Process Engineering degree from the University of British Columbia with a Minor in Commerce in 2006. We believe Mr. Basi is qualified to serve on our Board due to his extensive technical leadership experience in the global mining industry,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roles at public mining companies, as well as his experience as an executive officer and director of multiple resource and technology companies.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Family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other family relationships among any of our directors or executive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Composition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and affairs are organized under the direction of our Board. The Board consists of five members upon consummation of the Business Combination. The primary responsibilities of the Board is to provide oversight, strategic guidance, counseling, and direction to our management. The Board will meet on a regular basis and additionally as required.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our Charter, our Board is divided into three classes, Class I, Class II and Class III, with members of each class serving staggered three-year terms. The directors are assigned to the following classes: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I consists of Mr. Kaplan and Mr. Goldmeier, whose terms will expire at our 2026 annual meeting of shareholders; </w:t>
      </w:r>
      <w:r>
        <mc:AlternateContent>
          <mc:Choice Requires="wps">
            <w:drawing>
              <wp:anchor behindDoc="0" distT="7747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9"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II consists of Mr. Lipton and Mr. Basi, whose terms will expire at our 2027 annual meeting of shareholders; and </w:t>
      </w:r>
      <w:r>
        <mc:AlternateContent>
          <mc:Choice Requires="wps">
            <w:drawing>
              <wp:anchor behindDoc="0" distT="7747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0"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III consists of Mr. Kobler and Mr. Mukhija, whose terms will expire at our 2028 annual meeting of shareholders. </w:t>
      </w:r>
      <w:r>
        <mc:AlternateContent>
          <mc:Choice Requires="wps">
            <w:drawing>
              <wp:anchor behindDoc="0" distT="7747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1"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each annual meeting of shareholders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may have the effect of delaying or preventing changes in our control or management.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our Common Stock being listed on the Nasdaq, we adhere to the listing rules of the Nasdaq in affirmatively determining whether a director is independent. Our Board has consulted, and will consult, with its counsel to ensure that the board’s determinations are consistent with those rules and all relevant securities and other laws and regulations regarding the independence of directors. The Nasdaq listing standards generally define an “independent director” as a person, other than an executive officer of a company or any other individual having a relationship which, in the opinion of the issuer’s board of directors, would interfere with the exercise of independent judgment in carrying out the responsibilities of a director.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affirmatively determined that Messrs. Kobler, Goldmeier and Lipton are “independent directors” as defined in Nasdaq’s listing standards and applicable SEC rules, and that Mr. Kaplan qualifies as an “independent director” under Nasdaq’s listing standards. In addition, we are subject to the rules of the SEC and Nasdaq relating to the membership, qualifications, and operations of the audit committee, the compensation committee, and the nominating and corporate governance committee, as discussed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Oversight of Risk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key functions of our Board will be informed oversight of its risk management process. The Board does not anticipate having a standing risk management committee, but rather anticipates administering this oversight function directly through the Board as a whole, as well as through various standing committees of the Board that address risks inherent in their respective areas of oversight. In particular, our Board will be responsible for monitoring and assessing strategic risk exposure and our audit committee will have the responsibility to consider and discuss the combined company’s major financial risk exposures and the steps its management will take to monitor and control such exposures, including guidelines and policies to govern the process by which risk assessment and management is undertaken. The audit committee will also monitor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legal and regulatory requirements. Our compensation committee will also assess and monitor whether our compensation plans, policies and programs comply with applicable legal and regulatory requirements.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Chief Executive Officer and other executive officers will regularly report to the non-executive directors and the audit committee to ensure effective and efficient oversight of our activities and to assist in proper risk management and the ongoing evaluation of management controls. We believe that the leadership structure of the Board will provide appropriate risk oversight of our activities.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of the Business Combination, our Board established an audit committee, a compensation committee and a nominating and corporate governance committee. Our Board adopted a written charter for each of these committees, which complies with the applicable requirements of current Nasdaq Listing Rules. Copies of the charters for each committee are available on the investor relations portion of our website. The composition and function of each committee will comply with all applicable requirements of the Sarbanes-Oxley Act and all applicable SEC rules and regulations.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completion of the Business Combination, our audit committee consists of Messrs. Jeffrey Lipton (chair), Brian Goldmeier and Michael Kobler. Each member of the audit committee is financially literate, qualifies as an independent director under the Nasdaq corporate governance standards and the independence requirements of Rule 10A-3 under the Exchange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purpose of the audit committee is to discharge the responsibilities of the Board with respect to our accounting, financial, and other reporting and internal control practices and to oversee our independent registered accounting firm. Specific responsibilities of our audit committee include: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the Board in the oversight of (i) accounting and financial reporting processes of New Eagle and the audits of the financial statements of New Eagle, (ii) preparation and integrity of the financial statements of New Eagle, (iii) compliance by New Eagle with financial statement and regulatory requirements, (iv) performance of New Eagle’s internal finance and accounting personnel and its independent registered public accounting firms, and (v) qualifications and independence of New Eagle’s independent registered public accounting firms; </w:t>
      </w:r>
      <w:r>
        <mc:AlternateContent>
          <mc:Choice Requires="wps">
            <w:drawing>
              <wp:anchor behindDoc="0" distT="7874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2"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each of the internal and independent registered public accounting firms the overall scope and plans for audits, including authority and organizational reporting lines and adequacy of staffing and compensation; </w:t>
      </w:r>
      <w:r>
        <mc:AlternateContent>
          <mc:Choice Requires="wps">
            <w:drawing>
              <wp:anchor behindDoc="0" distT="7874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3"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and internal auditors New Eagle’s system of internal control and discussing with the independent registered public accounting firm any significant matters regarding internal controls over financial reporting that have come to its attention during the conduct of its audit; </w:t>
      </w:r>
      <w:r>
        <mc:AlternateContent>
          <mc:Choice Requires="wps">
            <w:drawing>
              <wp:anchor behindDoc="0" distT="7874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4"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internal auditors and independent registered public accounting firm New Eagle’s financial and critical accounting practices, and policies relating to risk assessment and management; </w:t>
      </w:r>
      <w:r>
        <mc:AlternateContent>
          <mc:Choice Requires="wps">
            <w:drawing>
              <wp:anchor behindDoc="0" distT="7874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5"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receiving and reviewing reports of the independent registered public accounting firm discussing (i) all critical accounting matters in the firm’s audit of New Eagle’s financial statements, (ii) all alternative treatments of financial information within U.S. GAAP that have been discussed with management, ramifications of the use of such alternative disclosures and treatments, and the treatment preferred by the independent registered public accounting firm, and (iii) other material written communications between the independent registered public accounting firm and management, such as any management letter or schedule of unadjusted differences; </w:t>
      </w:r>
      <w:r>
        <mc:AlternateContent>
          <mc:Choice Requires="wps">
            <w:drawing>
              <wp:anchor behindDoc="0" distT="7874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6"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and the independent registered public accounting firm the annual and quarterly financial statements and section entitled “Management’s Discussion and Analysis </w:t>
      </w:r>
      <w:r>
        <mc:AlternateContent>
          <mc:Choice Requires="wps">
            <w:drawing>
              <wp:anchor behindDoc="0" distT="7874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7"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Financial Condition and Results of Operations” of New Eagle prior to the filing of New Eagle’s Annual Reports on Form 10-K and Quarterly Reports on Form 10-Q;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or establishing, standards for the type of information and the type of presentation of such information to be included in, earnings press releases and earnings guidance provided to analysts and rating agencies;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8"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and the independent registered public accounting firm any changes in New Eagle’s critical accounting principles and the effects of alternative U.S. GAAP methods, off-balance sheet structures and regulatory and accounting initiatives;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9"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material pending legal proceedings involving New Eagle and other contingent liabilities;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0"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meeting periodically with the Chief Executive Officer, Chief Financial Officer, the senior internal auditing executive and the independent registered public accounting firm in separate executive sessions to discuss results of examinations; </w:t>
      </w:r>
      <w:r>
        <mc:AlternateContent>
          <mc:Choice Requires="wps">
            <w:drawing>
              <wp:anchor behindDoc="0" distT="7366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1"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all transactions between New Eagle and related parties or affiliates of the officers of New Eagle requiring disclosure under Item 404 of Regulation S-K prior to New Eagle entering into such transactions, in accordance with New Eagle’s Related-Party Transaction Policy, as amended from time to time; </w:t>
      </w:r>
      <w:r>
        <mc:AlternateContent>
          <mc:Choice Requires="wps">
            <w:drawing>
              <wp:anchor behindDoc="0" distT="7366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2"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the receipt, retention and treatment of complaints received by New Eagle regarding accounting, internal accounting controls or auditing matters, and the confidential, anonymous submissions by employees or contractors of concerns regarding questionable accounting or accounting matters, in accordance with New Eagle’s Whistleblower Policy, as amended from time to time; </w:t>
      </w:r>
      <w:r>
        <mc:AlternateContent>
          <mc:Choice Requires="wps">
            <w:drawing>
              <wp:anchor behindDoc="0" distT="7366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3"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periodically with New Eagle’s management, the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New Eagle’s financial statements or accounting policies and any significant changes in accounting standards or rules promulgated by the Financial Accounting Standards Board, the SEC or other regulatory authorities; and </w:t>
      </w:r>
      <w:r>
        <mc:AlternateContent>
          <mc:Choice Requires="wps">
            <w:drawing>
              <wp:anchor behindDoc="0" distT="736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4"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policies for the hiring of employees and former employees of the independent registered public accounting firm. </w:t>
      </w:r>
      <w:r>
        <mc:AlternateContent>
          <mc:Choice Requires="wps">
            <w:drawing>
              <wp:anchor behindDoc="0" distT="7493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5"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 Financial Expert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determined that Mr. Lipton qualifies as an “audit committee financial expert” as such term is defined in Item 407(d)(5) of Regulation S-K and possesses financial sophistication, as defined under the rules of Nasdaq. In making this determination, our Board considered Mr. Lipton’s formal education, training, and previous experience in financial roles.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completion of the Business Combination, our compensation committee consists of Messrs. Jeffrey Lipton (chair), Brian Goldmeier and Michael Kobler. Our Board has determined that each of the members is an “independent director” as defined by the Nasdaq Listing Rules applicable to members of a compensation committee. The Board has determined that each of the members of the compensation committee is a non-employee director, as defined in Rule 16b-3 promulgated under the Exchange Act and satisfy the independence requirements of the Nasdaq. The compensation committee will meet from time to time to consider matters for which approval by the committee is desirable or is required by law.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 responsibilities of our compensation committee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performance of the Chief Executive Officer and executive management; </w:t>
      </w:r>
      <w:r>
        <mc:AlternateContent>
          <mc:Choice Requires="wps">
            <w:drawing>
              <wp:anchor behindDoc="0" distT="7493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6"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the Board in developing and evaluating potential candidates for executive positions (including Chief Executive Officer); </w:t>
      </w:r>
      <w:r>
        <mc:AlternateContent>
          <mc:Choice Requires="wps">
            <w:drawing>
              <wp:anchor behindDoc="0" distT="7493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7"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goals and objectives relevant to the Chief Executive Officer and other executive officer compensation, evaluating the Chief Executive Officer’s and other executive officers’ performance in light of these corporate goals and objectives, and setting Chief Executive Officer and other executive officer compensation levels consistent with its evaluation and New Eagle’s philosophy; </w:t>
      </w:r>
      <w:r>
        <mc:AlternateContent>
          <mc:Choice Requires="wps">
            <w:drawing>
              <wp:anchor behindDoc="0" distT="0" distB="0" distL="254000" distR="0" simplePos="0" locked="0" layoutInCell="1" allowOverlap="1" relativeHeight="202">
                <wp:simplePos x="0" y="0"/>
                <wp:positionH relativeFrom="column">
                  <wp:align>left</wp:align>
                </wp:positionH>
                <wp:positionV relativeFrom="line">
                  <wp:posOffset>635</wp:posOffset>
                </wp:positionV>
                <wp:extent cx="127000" cy="350520"/>
                <wp:effectExtent l="0" t="0" r="0" b="0"/>
                <wp:wrapSquare wrapText="right"/>
                <wp:docPr id="198"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approving the salaries, bonuses and other compensation for all executive officers; </w:t>
      </w:r>
      <w:r>
        <mc:AlternateContent>
          <mc:Choice Requires="wps">
            <w:drawing>
              <wp:anchor behindDoc="0" distT="6858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9"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compensation packages for new corporate officers and termination packages for corporate officers as requested by management; </w:t>
      </w:r>
      <w:r>
        <mc:AlternateContent>
          <mc:Choice Requires="wps">
            <w:drawing>
              <wp:anchor behindDoc="0" distT="6858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0"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the Board and senior officers plans for officer development and corporate succession plans for the Chief Executive Officer and other senior officers; </w:t>
      </w:r>
      <w:r>
        <mc:AlternateContent>
          <mc:Choice Requires="wps">
            <w:drawing>
              <wp:anchor behindDoc="0" distT="6858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1"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concerning executive compensation policies and plans; </w:t>
      </w:r>
      <w:r>
        <mc:AlternateContent>
          <mc:Choice Requires="wps">
            <w:drawing>
              <wp:anchor behindDoc="0" distT="6858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2"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to the Board the adoption of or changes to the compensation of New Eagle’s directors; </w:t>
      </w:r>
      <w:r>
        <mc:AlternateContent>
          <mc:Choice Requires="wps">
            <w:drawing>
              <wp:anchor behindDoc="0" distT="6858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3"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awards made under any executive officer bonus plan, and providing an appropriate report to the Board; </w:t>
      </w:r>
      <w:r>
        <mc:AlternateContent>
          <mc:Choice Requires="wps">
            <w:drawing>
              <wp:anchor behindDoc="0" distT="6858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4"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concerning long-term incentive compensation plans, including the use of stock options and other equity-based plans, and, except as otherwise delegated by the Board, acting as the administrator for equity-based and employee benefit plans; </w:t>
      </w:r>
      <w:r>
        <mc:AlternateContent>
          <mc:Choice Requires="wps">
            <w:drawing>
              <wp:anchor behindDoc="0" distT="6858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5"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approving all special perquisites, special cash payments and other special compensation and benefit arrangements for New Eagle’s executive officers and employees; </w:t>
      </w:r>
      <w:r>
        <mc:AlternateContent>
          <mc:Choice Requires="wps">
            <w:drawing>
              <wp:anchor behindDoc="0" distT="6858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6"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periodic reports from management on matters relating to New Eagle’s personnel appointments and practices; </w:t>
      </w:r>
      <w:r>
        <mc:AlternateContent>
          <mc:Choice Requires="wps">
            <w:drawing>
              <wp:anchor behindDoc="0" distT="6731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7"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management in complying with New Eagle’s proxy statement and annual report disclosure requirements; </w:t>
      </w:r>
      <w:r>
        <mc:AlternateContent>
          <mc:Choice Requires="wps">
            <w:drawing>
              <wp:anchor behindDoc="0" distT="6731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8"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issuing an annual Report of the Compensation Committee on Executive Compensation for New Eagle’s annual proxy statement in compliance with applicable SEC rules and regulations; </w:t>
      </w:r>
      <w:r>
        <mc:AlternateContent>
          <mc:Choice Requires="wps">
            <w:drawing>
              <wp:anchor behindDoc="0" distT="6731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9"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evaluating the committee’s performance and the committee’s charter and recommending to the Board any proposed changes to the charter or the committee; and </w:t>
      </w:r>
      <w:r>
        <mc:AlternateContent>
          <mc:Choice Requires="wps">
            <w:drawing>
              <wp:anchor behindDoc="0" distT="6731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0"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undertaking all further actions and discharging all further responsibilities imposed upon the committee from time to time by the Board, the federal securities laws or the rules and regulations of the SEC. </w:t>
      </w:r>
      <w:r>
        <mc:AlternateContent>
          <mc:Choice Requires="wps">
            <w:drawing>
              <wp:anchor behindDoc="0" distT="6731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1"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Corporate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completion of the Business Combination, our nominating and corporate governance committee consisting of Messrs. Jeffrey Lipton (chair), Brian Goldmeier and Michael Kobler. Our Board has determined that each of the members is an “independent director” as defined by the Nasdaq Listing Rules.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 responsibilities of our nominating and corporate governance committee include: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recommending the qualifications, qualities, skills, and other expertise required to be a director, and developing and recommending to the Board for its approval criteria to be considered in selecting nominees for director (the “Director Criteria”);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2"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considering, recruiting and recommending individuals qualified to become members of the Board, consistent with the Director Criteria; reviewing any director candidates recommended by New Eagle’s stockholders pursuant to the procedures set forth in New Eagle’s corporate governance guidelines and described in New Eagle’s proxy statement; </w:t>
      </w:r>
      <w:r>
        <mc:AlternateContent>
          <mc:Choice Requires="wps">
            <w:drawing>
              <wp:anchor behindDoc="0" distT="6731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3"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conducting appropriate and necessary inquiries into the backgrounds and qualifications of director candidates; </w:t>
      </w:r>
      <w:r>
        <mc:AlternateContent>
          <mc:Choice Requires="wps">
            <w:drawing>
              <wp:anchor behindDoc="0" distT="6731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4"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the Board regarding the selection and approval of nominees for director for approval by the Board and election to be submitted to a stockholder vote at the annual meeting of stockholders, subject to approval by the Board; </w:t>
      </w:r>
      <w:r>
        <mc:AlternateContent>
          <mc:Choice Requires="wps">
            <w:drawing>
              <wp:anchor behindDoc="0" distT="6731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5"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and making recommendations to the Board regarding the selection and approval of candidates to fill any vacancy on the Board and/or any Board committee; </w:t>
      </w:r>
      <w:r>
        <mc:AlternateContent>
          <mc:Choice Requires="wps">
            <w:drawing>
              <wp:anchor behindDoc="0" distT="0" distB="0" distL="254000" distR="0" simplePos="0" locked="0" layoutInCell="1" allowOverlap="1" relativeHeight="220">
                <wp:simplePos x="0" y="0"/>
                <wp:positionH relativeFrom="column">
                  <wp:align>left</wp:align>
                </wp:positionH>
                <wp:positionV relativeFrom="line">
                  <wp:posOffset>635</wp:posOffset>
                </wp:positionV>
                <wp:extent cx="127000" cy="350520"/>
                <wp:effectExtent l="0" t="0" r="0" b="0"/>
                <wp:wrapSquare wrapText="right"/>
                <wp:docPr id="216"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recommending to the Board for approval standards for determining whether a director has a relationship with New Eagle that would impair independence, and annually reviewing the independence of the members of the Board and its various committees and making recommendations to the Board as to determinations of director independence; </w:t>
      </w:r>
      <w:r>
        <mc:AlternateContent>
          <mc:Choice Requires="wps">
            <w:drawing>
              <wp:anchor behindDoc="0" distT="736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7"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recommending to the Board a set of corporate governance guidelines applicable to New Eagle, reviewing these guidelines at least once a year, and recommending any changes to the Board; </w:t>
      </w:r>
      <w:r>
        <mc:AlternateContent>
          <mc:Choice Requires="wps">
            <w:drawing>
              <wp:anchor behindDoc="0" distT="7366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8"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New Eagle’s corporate governance practices and procedures, including identifying best practices and reviewing and recommending to the Board for approval any changes to the documents, policies and procedures in New Eagle’s corporate governance framework, including its articles of incorporation and bylaws; </w:t>
      </w:r>
      <w:r>
        <mc:AlternateContent>
          <mc:Choice Requires="wps">
            <w:drawing>
              <wp:anchor behindDoc="0" distT="7366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19"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disclosure of New Eagle’s corporate governance practices, including information regarding the operations of the committee and other Board committees, director independence and the director nominations process, and recommending that such disclosure be included in New Eagle’s annual report on Form 10-K or proxy statement, as applicable; </w:t>
      </w:r>
      <w:r>
        <mc:AlternateContent>
          <mc:Choice Requires="wps">
            <w:drawing>
              <wp:anchor behindDoc="0" distT="7366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0"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subject to approval by the Board, a process for an annual evaluation of the Board and its committees, and overseeing the conduct of such annual evaluation; </w:t>
      </w:r>
      <w:r>
        <mc:AlternateContent>
          <mc:Choice Requires="wps">
            <w:drawing>
              <wp:anchor behindDoc="0" distT="7366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1"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Board’s committee structure and composition and making recommendations to the Board regarding the appointment of directors to serve as members of each committee and as committee chairpersons annually; </w:t>
      </w:r>
      <w:r>
        <mc:AlternateContent>
          <mc:Choice Requires="wps">
            <w:drawing>
              <wp:anchor behindDoc="0" distT="7366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2"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overseeing a Company orientation program for new directors and a continuing education program for current directors, and periodically reviewing and updating such programs as necessary; </w:t>
      </w:r>
      <w:r>
        <mc:AlternateContent>
          <mc:Choice Requires="wps">
            <w:drawing>
              <wp:anchor behindDoc="0" distT="7366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3"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reviewing the committee’s performance and the Charter and recommending to the Board any proposed changes to the Charter or the committee; </w:t>
      </w:r>
      <w:r>
        <mc:AlternateContent>
          <mc:Choice Requires="wps">
            <w:drawing>
              <wp:anchor behindDoc="0" distT="7366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4"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New Eagle’s Code of Ethics (the “Code”) and recommending any changes to the Board for approval; and </w:t>
      </w:r>
      <w:r>
        <mc:AlternateContent>
          <mc:Choice Requires="wps">
            <w:drawing>
              <wp:anchor behindDoc="0" distT="7366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5"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any director resignation letter tendered in accordance with New Eagle’s director resignation policy, and evaluating and recommending to the Board whether such resignation should be accepted. </w:t>
      </w:r>
      <w:r>
        <mc:AlternateContent>
          <mc:Choice Requires="wps">
            <w:drawing>
              <wp:anchor behindDoc="0" distT="7493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6"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Code of Ethics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code of ethics that applies to all of our directors, officers and employees (collectively, the “Covered Persons” and each a “Covered Person”). The full text of the Code is available on the Investor Relations section of our website. We will provide a copy of the Code to any person without charge, upon request. Such requests should be made in writing to the following address: 5470 Kietzke Lane, Suite 300, Reno, Nevada 89511. We also intend to disclose future amendments to, or waivers of, its code of ethics, as and to the extent required by SEC regulations, on our website at https://eaglenuclear.com.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 Interlocks and Insider Participation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members of the compensation committee was at any time one of New Eagle’s officers or employees. None of New Eagle’s executive officers currently serves, or has served during the last completed fiscal year, on the compensation committee or board of directors of any other entity that has one or more executive officers that will serve as a member of our Board or compensation committee.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 and Interested Party Communications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and interested parties may communicate with our Board, any committee chairperson or the non-management directors as a group by writing to the board or committee chairperson at the following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address: 5470 Kietzke Lane, Suite 300, Reno, Nevada 89511. Each communication will be forwarded, depending on the subject matter, to the Board, the appropriate committee chairperson or all non-management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of Liability and Indemnification of Directors and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Discretionary indemnification of officers and directors is covered by Section 78.7502 of the NRS. Section 78.7502(1)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in connection with such action, suit or proceeding if such person: (i) is not liable for a breach of fiduciary duties that involved intentional misconduct, fraud, or a knowing violation of law; or (ii) acted in good faith and in a manner such person reasonably believed to be in or not opposed to the best interests of the corporation, and, with respect to any criminal action or proceeding, had no reasonable cause to believe his or her conduct was unlawful.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NRS Section 78.7502(2) further provides that a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in connection with the defense or settlement of the action or suit if such person: (i) is not liable for a breach of fiduciary duties that involved intentional misconduct, fraud or a knowing violation of law; or (ii) acted in good faith and in a manner that he or she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NRS Section 78.751 provides that to the extent that a director, officer, employee or agent of a corporation has been successful on the merits or otherwise in defense of any action, suit or proceeding referred to in subsections (1) and (2) of NRS Section 78.7502, as described above, or in defense of any claim, issue or matter therein, the corporation shall indemnify such person against expenses (including attorneys’ fees) actually and reasonably incurred by such person in connection with the defense.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purchased and intend to maintain director and officer liability insurance to cover liabilities our directors and officers may incur in connection with their services to the combined company, including matters arising under the Securities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subject to any provisions in the Bylaws related to indemnification of directors or officers of New Eagle, New Eagle shall indemnify, to the fullest extent permitted by applicable law (including, without limitation, NRS 78.7502 and 78.751), any director or officer of New Eagle who was or is a party or is threatened to be made a party to any threatened, pending or completed action, suit or proceeding, whether civil, criminal, administrative or investigative, by reason of the fact that he or she is or was a director, officer, employee or agent of New Eagle or is or was serving at the request of New Eagle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Registrant.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New Eagle shall have the power to indemnify, to the extent permitted by the NRS, as it presently exists or may be amended from time to time, any employee or agent of New Eagle who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was or is a party or is threatened to be made a party to any threatened, pending or completed action, suit or proceeding, whether civil, criminal, administrative or investigative, by reason of the fact that he or she is or was a director, officer, employee or agent of New Eagle or is or was serving at the request of New Eagle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each person who was or is a party or is threatened to be made a party to, or was or is otherwise involved in, any action, suit, arbitration, alternative dispute resolution mechanism, investigation, inquiry, judicial, administrative or legislative hearing, or any other threatened, pending or completed proceeding, whether brought by or in the right of New Eagle or otherwise, including any and all appeals, whether of a civil, criminal, administrative, legislative, investigative or other nature (hereinafter a “proceeding”), by reason of the fact that he or she is or was a director or an officer of New Eagle or while a director or an officer of New Eagle is or was serving at the request of New Eagle as a director, officer, manager, employee, agent or trustee of another corporation or of a partnership, limited liability company, joint venture, trust or other enterprise, including service with respect to an employee benefit plan (hereinafter an “indemnitee”), or by reason of anything done or not done by him or her in any such capacity, shall be indemnified and held harmless by New Eagle to the fullest extent authorized by the NRS, as the same exists or may hereafter be amended, against all expense, liability and loss (including attorneys’ fees, judgments, fines, ERISA excise taxes, penalties and amounts paid in settlement by or on behalf of the indemnitee) actually and reasonably incurred by such indemnitee in connection therewith, all on the terms and conditions set forth in the New Eagle Bylaws; provided, however, that, except as otherwise required by law or provided in the New Eagle Bylaws with respect to suits to enforce such rights, New Eagle shall indemnify any such indemnitee in connection with a proceeding, or part thereof, voluntarily initiated by such indemnitee (including claims and counterclaims, whether such counterclaims are asserted by: (i) such indemnitee; or (ii) New Eagle in a proceeding initiated by such indemnitee) only if such proceeding, or part thereof, was authorized or ratified by New Eagle’s board of directors (the “Board of Directors”) or the Board of Directors otherwise determines that indemnification or advancement of expenses is appropriate.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right to indemnification conferred in the Bylaws, an indemnitee shall, to the fullest extent permitted by law, also have the right to be paid by New Eagle the expenses (including attorneys’ fees) incurred in defending any proceeding in advance of its final disposition (hereinafter an “advancement of expenses”); provided, however, that an advancement of expenses shall be made only upon delivery to New Eagle of an undertaking (hereinafter an “undertaking”), by or on behalf of such indemnitee, to repay all amounts so advanced if it shall ultimately be determined by final judicial decision of a court of competent jurisdiction from which there is no further right to appeal (hereinafter a “final adjudication”) that such indemnitee is not entitled to be indemnified for such expenses.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to indemnification and to the advancement of expenses conferred in the Bylaws is not exclusive of any other right that any person may have or acquire under any law, agreement, vote of stockholders or disinterested directors, provisions of the Charter, Bylaws, or otherwise. New Eagle intends to enter into indemnification agreements with each of its directors and officers. In some cases, the provisions of those indemnification agreements may be broader than the specific indemnification provisions contained under Nevada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pending litigation or proceeding involving any of our directors, officers, employees or agents in which indemnification will be required or permitted. We are not aware of any threatened litigation or proceedings that may result in a claim for such indemnification.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executive officers or persons controlling the combined company, we have been informed that in the opinion of the SEC such indemnification is against public policy as expressed in the Securities Act and is therefore unenforceable.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EXCO"/>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Unless the context requires otherwise, references to “Eagle,” “we,” “us,” “our” and “the Company” in this section are to the business and operations of Eagle prior to the Business Combination and the business and operations of New Eagle as directly or indirectly affected by Eagle by virtue of New Eagle’s ownership of the business of Eagle following the Business Combination.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section discusses the material components of the executive compensation program for (i) the individual who served as Eagle’s principal executive officer during fiscal year 2025; (ii) Eagle’s next two most highly compensated executive officers who were serving as executive officers as of November 30, 2025; and (iii) one of Eagle’s former executive officers who was not serving as an executive officer at the end of fiscal year 2025. We refer to these individuals in this section as Eagle’s “named executive officers.”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discussion may contain forward-looking statements that are based on New Eagle’s current plans, considerations, expectations and determinations regarding future compensation programs. Actual compensation programs that Eagle or New Eagle adopts following the Business Combination may differ materially from the currently planned programs summarized in this discussion. As an “emerging growth company” as defined in the JOBS Act, New Eagle is not required to include a Compensation Discussion and Analysis section and has elected to comply with the scaled disclosure requirements applicable to emerging growth companies.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fiscal year ended November 30, 2025, Eagle’s “named executive officers” and their positions were as follows: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 Mukhija, Chief Executive Officer; </w:t>
      </w:r>
      <w:r>
        <mc:AlternateContent>
          <mc:Choice Requires="wps">
            <w:drawing>
              <wp:anchor behindDoc="0" distT="7493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7"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Ajay Toor, Chief Financial Officer; </w:t>
      </w:r>
      <w:r>
        <mc:AlternateContent>
          <mc:Choice Requires="wps">
            <w:drawing>
              <wp:anchor behindDoc="0" distT="7493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8"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Kuljit Basi, Vice President of Project Development; and </w:t>
      </w:r>
      <w:r>
        <mc:AlternateContent>
          <mc:Choice Requires="wps">
            <w:drawing>
              <wp:anchor behindDoc="0" distT="7493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9"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Yana Popova, Eagle’s former Chief Financial Officer </w:t>
      </w:r>
      <w:r>
        <mc:AlternateContent>
          <mc:Choice Requires="wps">
            <w:drawing>
              <wp:anchor behindDoc="0" distT="7493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0"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2025 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information regarding the total compensation awarded to, earned by and paid to Eagle’s named executive officers, “NEOs”, for the fiscal year ended November 30, 2025. </w:t>
      </w:r>
    </w:p>
    <w:tbl>
      <w:tblPr>
        <w:tblW w:w="8812" w:type="dxa"/>
        <w:jc w:val="left"/>
        <w:tblInd w:w="1393" w:type="dxa"/>
        <w:tblLayout w:type="fixed"/>
        <w:tblCellMar>
          <w:top w:w="0" w:type="dxa"/>
          <w:left w:w="0" w:type="dxa"/>
          <w:bottom w:w="43" w:type="dxa"/>
          <w:right w:w="0" w:type="dxa"/>
        </w:tblCellMar>
      </w:tblPr>
      <w:tblGrid>
        <w:gridCol w:w="1896"/>
        <w:gridCol w:w="109"/>
        <w:gridCol w:w="109"/>
        <w:gridCol w:w="109"/>
        <w:gridCol w:w="109"/>
        <w:gridCol w:w="586"/>
        <w:gridCol w:w="109"/>
        <w:gridCol w:w="109"/>
        <w:gridCol w:w="109"/>
        <w:gridCol w:w="109"/>
        <w:gridCol w:w="109"/>
        <w:gridCol w:w="911"/>
        <w:gridCol w:w="109"/>
        <w:gridCol w:w="109"/>
        <w:gridCol w:w="109"/>
        <w:gridCol w:w="126"/>
        <w:gridCol w:w="126"/>
        <w:gridCol w:w="473"/>
        <w:gridCol w:w="127"/>
        <w:gridCol w:w="109"/>
        <w:gridCol w:w="109"/>
        <w:gridCol w:w="214"/>
        <w:gridCol w:w="214"/>
        <w:gridCol w:w="804"/>
        <w:gridCol w:w="218"/>
        <w:gridCol w:w="109"/>
        <w:gridCol w:w="109"/>
        <w:gridCol w:w="109"/>
        <w:gridCol w:w="109"/>
        <w:gridCol w:w="886"/>
        <w:gridCol w:w="109"/>
        <w:gridCol w:w="160"/>
      </w:tblGrid>
      <w:tr>
        <w:trPr/>
        <w:tc>
          <w:tcPr>
            <w:tcW w:w="1896"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8" w:type="dxa"/>
            <w:gridSpan w:val="4"/>
            <w:tcBorders>
              <w:bottom w:val="single" w:sz="2" w:space="0" w:color="000000"/>
            </w:tcBorders>
            <w:vAlign w:val="center"/>
          </w:tcPr>
          <w:p>
            <w:pPr>
              <w:pStyle w:val="TableContents"/>
              <w:bidi w:val="0"/>
              <w:spacing w:before="0" w:after="0"/>
              <w:jc w:val="center"/>
              <w:rPr/>
            </w:pPr>
            <w:r>
              <w:rPr>
                <w:spacing w:val="-3"/>
              </w:rPr>
              <w:t>Salary</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2"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Awards</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0" w:type="dxa"/>
            <w:gridSpan w:val="4"/>
            <w:tcBorders>
              <w:bottom w:val="single" w:sz="2" w:space="0" w:color="000000"/>
            </w:tcBorders>
            <w:vAlign w:val="center"/>
          </w:tcPr>
          <w:p>
            <w:pPr>
              <w:pStyle w:val="TableContents"/>
              <w:bidi w:val="0"/>
              <w:spacing w:before="0" w:after="0"/>
              <w:jc w:val="center"/>
              <w:rPr/>
            </w:pPr>
            <w:r>
              <w:rPr>
                <w:spacing w:val="-3"/>
              </w:rPr>
              <w:t>All Other</w:t>
            </w:r>
            <w:r>
              <w:rPr/>
              <w:t xml:space="preserve"> </w:t>
              <w:br/>
            </w:r>
            <w:r>
              <w:rPr>
                <w:spacing w:val="-3"/>
              </w:rPr>
              <w:t>Compensation</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6"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Mark Mukhija,</w:t>
            </w:r>
            <w:r>
              <w:rPr/>
              <w:t xml:space="preserve"> </w:t>
              <w:br/>
            </w:r>
            <w:r>
              <w:rPr>
                <w:i/>
                <w:spacing w:val="4"/>
              </w:rPr>
              <w:t>Chief Executive Officer</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11" w:type="dxa"/>
            <w:tcBorders/>
            <w:shd w:fill="CCEEFF" w:val="clear"/>
            <w:tcMar>
              <w:bottom w:w="0" w:type="dxa"/>
            </w:tcMar>
            <w:vAlign w:val="center"/>
          </w:tcPr>
          <w:p>
            <w:pPr>
              <w:pStyle w:val="TableContents"/>
              <w:bidi w:val="0"/>
              <w:spacing w:lineRule="atLeast" w:line="240" w:before="0" w:after="283"/>
              <w:jc w:val="right"/>
              <w:rPr/>
            </w:pPr>
            <w:r>
              <w:rPr/>
              <w:t>180,000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lineRule="atLeast" w:line="240" w:before="0" w:after="283"/>
              <w:jc w:val="right"/>
              <w:rPr/>
            </w:pPr>
            <w:r>
              <w:rPr/>
              <w:t>​</w:t>
            </w:r>
          </w:p>
        </w:tc>
        <w:tc>
          <w:tcPr>
            <w:tcW w:w="473" w:type="dxa"/>
            <w:tcBorders/>
            <w:shd w:fill="CCEEFF" w:val="clear"/>
            <w:tcMar>
              <w:bottom w:w="0" w:type="dxa"/>
            </w:tcMar>
            <w:vAlign w:val="center"/>
          </w:tcPr>
          <w:p>
            <w:pPr>
              <w:pStyle w:val="TableContents"/>
              <w:bidi w:val="0"/>
              <w:spacing w:lineRule="atLeast" w:line="240" w:before="0" w:after="283"/>
              <w:jc w:val="right"/>
              <w:rPr/>
            </w:pPr>
            <w:r>
              <w:rPr/>
              <w:t>Nil</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lineRule="atLeast" w:line="240" w:before="0" w:after="283"/>
              <w:jc w:val="right"/>
              <w:rPr/>
            </w:pPr>
            <w:r>
              <w:rPr/>
              <w:t>​</w:t>
            </w:r>
          </w:p>
        </w:tc>
        <w:tc>
          <w:tcPr>
            <w:tcW w:w="804" w:type="dxa"/>
            <w:tcBorders/>
            <w:shd w:fill="CCEEFF" w:val="clear"/>
            <w:tcMar>
              <w:bottom w:w="0" w:type="dxa"/>
            </w:tcMar>
            <w:vAlign w:val="center"/>
          </w:tcPr>
          <w:p>
            <w:pPr>
              <w:pStyle w:val="TableContents"/>
              <w:bidi w:val="0"/>
              <w:spacing w:lineRule="atLeast" w:line="240" w:before="0" w:after="283"/>
              <w:jc w:val="right"/>
              <w:rPr/>
            </w:pPr>
            <w:r>
              <w:rPr/>
              <w:t>Nil</w:t>
            </w:r>
          </w:p>
        </w:tc>
        <w:tc>
          <w:tcPr>
            <w:tcW w:w="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180,000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89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97,500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473" w:type="dxa"/>
            <w:tcBorders/>
            <w:shd w:fill="CCEEFF" w:val="clear"/>
            <w:tcMar>
              <w:bottom w:w="0" w:type="dxa"/>
            </w:tcMar>
            <w:vAlign w:val="center"/>
          </w:tcPr>
          <w:p>
            <w:pPr>
              <w:pStyle w:val="TableContents"/>
              <w:bidi w:val="0"/>
              <w:spacing w:before="0" w:after="283"/>
              <w:jc w:val="right"/>
              <w:rPr/>
            </w:pPr>
            <w:r>
              <w:rPr/>
              <w:t>Nil</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Nil</w:t>
            </w:r>
          </w:p>
        </w:tc>
        <w:tc>
          <w:tcPr>
            <w:tcW w:w="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896" w:type="dxa"/>
            <w:tcBorders/>
            <w:tcMar>
              <w:bottom w:w="0" w:type="dxa"/>
            </w:tcMar>
            <w:vAlign w:val="center"/>
          </w:tcPr>
          <w:p>
            <w:pPr>
              <w:pStyle w:val="TableContents"/>
              <w:bidi w:val="0"/>
              <w:spacing w:before="0" w:after="0"/>
              <w:ind w:left="200" w:right="0" w:hanging="200"/>
              <w:jc w:val="both"/>
              <w:rPr/>
            </w:pPr>
            <w:r>
              <w:rPr>
                <w:spacing w:val="4"/>
              </w:rPr>
              <w:t>Ajay Toor,</w:t>
            </w:r>
            <w:r>
              <w:rPr/>
              <w:t xml:space="preserve"> </w:t>
              <w:br/>
            </w:r>
            <w:r>
              <w:rPr>
                <w:i/>
                <w:spacing w:val="4"/>
              </w:rPr>
              <w:t>Chief Financial Officer</w:t>
            </w:r>
            <w:r>
              <w:rPr>
                <w:iCs/>
                <w:spacing w:val="3"/>
                <w:szCs w:val="13"/>
              </w:rPr>
              <w:t>﻿</w:t>
            </w:r>
            <w:r>
              <w:rPr>
                <w:i/>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16,645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473" w:type="dxa"/>
            <w:tcBorders/>
            <w:tcMar>
              <w:bottom w:w="0" w:type="dxa"/>
            </w:tcMar>
            <w:vAlign w:val="center"/>
          </w:tcPr>
          <w:p>
            <w:pPr>
              <w:pStyle w:val="TableContents"/>
              <w:bidi w:val="0"/>
              <w:spacing w:before="0" w:after="283"/>
              <w:jc w:val="right"/>
              <w:rPr/>
            </w:pPr>
            <w:r>
              <w:rPr/>
              <w:t>Nil</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Nil</w:t>
            </w:r>
          </w:p>
        </w:tc>
        <w:tc>
          <w:tcPr>
            <w:tcW w:w="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16,645</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896"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Kuljit Basi,</w:t>
            </w:r>
            <w:r>
              <w:rPr/>
              <w:t xml:space="preserve"> </w:t>
              <w:br/>
            </w:r>
            <w:r>
              <w:rPr>
                <w:i/>
                <w:spacing w:val="4"/>
              </w:rPr>
              <w:t>Vice President of Project Development</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11" w:type="dxa"/>
            <w:tcBorders/>
            <w:shd w:fill="CCEEFF" w:val="clear"/>
            <w:tcMar>
              <w:bottom w:w="0" w:type="dxa"/>
            </w:tcMar>
            <w:vAlign w:val="center"/>
          </w:tcPr>
          <w:p>
            <w:pPr>
              <w:pStyle w:val="TableContents"/>
              <w:bidi w:val="0"/>
              <w:spacing w:lineRule="atLeast" w:line="240" w:before="0" w:after="283"/>
              <w:jc w:val="right"/>
              <w:rPr/>
            </w:pPr>
            <w:r>
              <w:rPr/>
              <w:t>180,000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lineRule="atLeast" w:line="240" w:before="0" w:after="283"/>
              <w:jc w:val="right"/>
              <w:rPr/>
            </w:pPr>
            <w:r>
              <w:rPr/>
              <w:t>​</w:t>
            </w:r>
          </w:p>
        </w:tc>
        <w:tc>
          <w:tcPr>
            <w:tcW w:w="473" w:type="dxa"/>
            <w:tcBorders/>
            <w:shd w:fill="CCEEFF" w:val="clear"/>
            <w:tcMar>
              <w:bottom w:w="0" w:type="dxa"/>
            </w:tcMar>
            <w:vAlign w:val="center"/>
          </w:tcPr>
          <w:p>
            <w:pPr>
              <w:pStyle w:val="TableContents"/>
              <w:bidi w:val="0"/>
              <w:spacing w:lineRule="atLeast" w:line="240" w:before="0" w:after="283"/>
              <w:jc w:val="right"/>
              <w:rPr/>
            </w:pPr>
            <w:r>
              <w:rPr/>
              <w:t>Nil</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lineRule="atLeast" w:line="240" w:before="0" w:after="283"/>
              <w:jc w:val="right"/>
              <w:rPr/>
            </w:pPr>
            <w:r>
              <w:rPr/>
              <w:t>​</w:t>
            </w:r>
          </w:p>
        </w:tc>
        <w:tc>
          <w:tcPr>
            <w:tcW w:w="804" w:type="dxa"/>
            <w:tcBorders/>
            <w:shd w:fill="CCEEFF" w:val="clear"/>
            <w:tcMar>
              <w:bottom w:w="0" w:type="dxa"/>
            </w:tcMar>
            <w:vAlign w:val="center"/>
          </w:tcPr>
          <w:p>
            <w:pPr>
              <w:pStyle w:val="TableContents"/>
              <w:bidi w:val="0"/>
              <w:spacing w:lineRule="atLeast" w:line="240" w:before="0" w:after="283"/>
              <w:jc w:val="right"/>
              <w:rPr/>
            </w:pPr>
            <w:r>
              <w:rPr/>
              <w:t>Nil</w:t>
            </w:r>
          </w:p>
        </w:tc>
        <w:tc>
          <w:tcPr>
            <w:tcW w:w="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180,000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89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473" w:type="dxa"/>
            <w:tcBorders/>
            <w:shd w:fill="CCEEFF" w:val="clear"/>
            <w:tcMar>
              <w:bottom w:w="0" w:type="dxa"/>
            </w:tcMar>
            <w:vAlign w:val="center"/>
          </w:tcPr>
          <w:p>
            <w:pPr>
              <w:pStyle w:val="TableContents"/>
              <w:bidi w:val="0"/>
              <w:spacing w:before="0" w:after="283"/>
              <w:jc w:val="right"/>
              <w:rPr/>
            </w:pPr>
            <w:r>
              <w:rPr/>
              <w:t>Nil</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Nil</w:t>
            </w:r>
          </w:p>
        </w:tc>
        <w:tc>
          <w:tcPr>
            <w:tcW w:w="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896"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Yana Popova,</w:t>
            </w:r>
            <w:r>
              <w:rPr/>
              <w:t xml:space="preserve"> </w:t>
              <w:br/>
            </w:r>
            <w:r>
              <w:rPr>
                <w:i/>
                <w:spacing w:val="4"/>
              </w:rPr>
              <w:t>Chief Financial Officer</w:t>
            </w:r>
            <w:r>
              <w:rPr>
                <w:iCs/>
                <w:spacing w:val="3"/>
                <w:szCs w:val="13"/>
              </w:rPr>
              <w:t>﻿</w:t>
            </w:r>
            <w:r>
              <w:rPr>
                <w:i/>
                <w:spacing w:val="3"/>
                <w:sz w:val="13"/>
              </w:rPr>
              <w:t>(4)</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911" w:type="dxa"/>
            <w:tcBorders/>
            <w:tcMar>
              <w:bottom w:w="0" w:type="dxa"/>
            </w:tcMar>
            <w:vAlign w:val="center"/>
          </w:tcPr>
          <w:p>
            <w:pPr>
              <w:pStyle w:val="TableContents"/>
              <w:bidi w:val="0"/>
              <w:spacing w:lineRule="atLeast" w:line="240" w:before="0" w:after="283"/>
              <w:jc w:val="right"/>
              <w:rPr/>
            </w:pPr>
            <w:r>
              <w:rPr/>
              <w:t>157,500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lineRule="atLeast" w:line="240" w:before="0" w:after="283"/>
              <w:jc w:val="right"/>
              <w:rPr/>
            </w:pPr>
            <w:r>
              <w:rPr/>
              <w:t>​</w:t>
            </w:r>
          </w:p>
        </w:tc>
        <w:tc>
          <w:tcPr>
            <w:tcW w:w="473" w:type="dxa"/>
            <w:tcBorders/>
            <w:tcMar>
              <w:bottom w:w="0" w:type="dxa"/>
            </w:tcMar>
            <w:vAlign w:val="center"/>
          </w:tcPr>
          <w:p>
            <w:pPr>
              <w:pStyle w:val="TableContents"/>
              <w:bidi w:val="0"/>
              <w:spacing w:lineRule="atLeast" w:line="240" w:before="0" w:after="283"/>
              <w:jc w:val="right"/>
              <w:rPr/>
            </w:pPr>
            <w:r>
              <w:rPr/>
              <w:t>Nil</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lineRule="atLeast" w:line="240" w:before="0" w:after="283"/>
              <w:jc w:val="right"/>
              <w:rPr/>
            </w:pPr>
            <w:r>
              <w:rPr/>
              <w:t>​</w:t>
            </w:r>
          </w:p>
        </w:tc>
        <w:tc>
          <w:tcPr>
            <w:tcW w:w="804" w:type="dxa"/>
            <w:tcBorders/>
            <w:tcMar>
              <w:bottom w:w="0" w:type="dxa"/>
            </w:tcMar>
            <w:vAlign w:val="center"/>
          </w:tcPr>
          <w:p>
            <w:pPr>
              <w:pStyle w:val="TableContents"/>
              <w:bidi w:val="0"/>
              <w:spacing w:lineRule="atLeast" w:line="240" w:before="0" w:after="283"/>
              <w:jc w:val="right"/>
              <w:rPr/>
            </w:pPr>
            <w:r>
              <w:rPr/>
              <w:t>Nil</w:t>
            </w:r>
          </w:p>
        </w:tc>
        <w:tc>
          <w:tcPr>
            <w:tcW w:w="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157,500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89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75,000</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473" w:type="dxa"/>
            <w:tcBorders/>
            <w:tcMar>
              <w:bottom w:w="0" w:type="dxa"/>
            </w:tcMar>
            <w:vAlign w:val="center"/>
          </w:tcPr>
          <w:p>
            <w:pPr>
              <w:pStyle w:val="TableContents"/>
              <w:bidi w:val="0"/>
              <w:spacing w:before="0" w:after="283"/>
              <w:jc w:val="right"/>
              <w:rPr/>
            </w:pPr>
            <w:r>
              <w:rPr/>
              <w:t>Nil</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Nil</w:t>
            </w:r>
          </w:p>
        </w:tc>
        <w:tc>
          <w:tcPr>
            <w:tcW w:w="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75,000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 amounts reflect the aggregate grant date fair value with respect to awards granted, as determined pursuant to FASB ASC Topic 718. The assumptions used to calculate the aggregate grant date fair value of option awards are set forth in the notes to Eagle’s financial statements included elsewhere in this prospectus. These amounts do not reflect actual compensation earned or to be earned by Eagle’s NEOs. </w:t>
      </w:r>
      <w:r>
        <mc:AlternateContent>
          <mc:Choice Requires="wps">
            <w:drawing>
              <wp:anchor behindDoc="0" distT="100330" distB="0" distL="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31"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Eagle appointed Ajay Toor as the new Chief Financial Officer on October 15, 2025. </w:t>
      </w:r>
      <w:r>
        <mc:AlternateContent>
          <mc:Choice Requires="wps">
            <w:drawing>
              <wp:anchor behindDoc="0" distT="49530" distB="0" distL="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32"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compensation information for the fiscal year ended November 30, 2024 is not provided, as the individual was not NEO for that period. </w:t>
      </w:r>
      <w:r>
        <mc:AlternateContent>
          <mc:Choice Requires="wps">
            <w:drawing>
              <wp:anchor behindDoc="0" distT="49530" distB="0" distL="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33"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Eagle formally appointed Yana Popova, principal of Eagle’s financial </w:t>
      </w:r>
      <w:r>
        <mc:AlternateContent>
          <mc:Choice Requires="wps">
            <w:drawing>
              <wp:anchor behindDoc="0" distT="49530" distB="0" distL="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34"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consultant, as the Chief Financial Officer of Eagle on October 17, 2024. On October 15, 2025, Yana Popova resigned as the Chief Financial Officer of the Company. </w:t>
      </w:r>
    </w:p>
    <w:p>
      <w:pPr>
        <w:pStyle w:val="TextBody"/>
        <w:bidi w:val="0"/>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$30,000 as CFO fees and $45,000 for accounting services. </w:t>
      </w:r>
      <w:r>
        <mc:AlternateContent>
          <mc:Choice Requires="wps">
            <w:drawing>
              <wp:anchor behindDoc="0" distT="44450" distB="0" distL="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35"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Narrative Disclosure to the 2025 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of Eagle’s NEOs generally consists of base salary, annual cash bonus opportunities, long term incentive compensation in the form of phantom equity awards, and other benefits, as described below.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Base Salary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base salary payable to each NEO is intended to provide a fixed component of compensation reflecting the executive’s skill set, experience, role, responsibilities and contributions. Each NEO’s initial base compensation was specified in their consulting agreement as described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Compensation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Mark Mukhija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 2024, Eagle entered into a consulting agreement with Mark Mukhija, its Chief Executive Officer. Under the agreement, Mr. Mukhija receives a monthly fee in exchange for his provision of Chief Executive Officer services to Eagle. The consulting fee paid to Mr. Mukhija escalates quarterly beginning on its effective date: $3,750 per month for the first three months, $7,500 per month for the fourth through sixth months, $11,250 per month for the seventh through ninth months, and $15,000 per month beginning in month ten. Further, if Eagle completes an initial public offering or lists its shares on a U.S. national securities exchange, Mr. Mukhija will receive a one-time $25,000 cash payment at the time of listing, subject to acceleration by Eagle’s board of directors. He is also eligible to participate in Eagle’s future equity incentive plan, with an initial grant of 1,000,000 stock options at a board-determined exercise price. Eagle anticipates that Mr. Mukhija will also receive the right to 43,873 Earnout Shares as his pro rata share of Eagle equity on a fully-diluted basis, giving effect to the issuance of such stock options. Eagle will also reimburse Mr. Mukhija for pre-approved business expenses, provided they are documented in accordance with Eagle’s company policy. Mr. Mukhija receives no additional compensation for serving on Eagle’s Board of Directors. The agreement may be terminated immediately for cause, by either party with 30 days’ written notice, or automatically upon bankruptcy, dissolution, or Mr. Mukhija’s death. The consulting agreement includes standard confidentiality, invention assignment, and indemnification provisions.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Ajay Toor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15, 2025, Eagle entered into a consulting agreement (the “Toor Consulting Agreement”) with 1268966 B.C. Ltd., a British Columbia corporation (the “Consultant”), owed by Ajay Toor. Pursuant to that agreement, Eagle pays the Consultant a fee of $10,750 per month to compensate it for the provision of Mr. Toor’s Chief Financial Officer services to Eagle. Further, Eagle agreed to reimburse Mr. Toor for pre-approved business expenses, provided they are documented in accordance with its company policy. The agreement continues month-to-month until terminated. The Company may terminate the agreement for cause immediately or without cause on 90 days’ notice (or payment in lieu of notice). The Consultant may terminate the agreement on 30 days’ notice. The agreement also terminates automatically upon bankruptcy, dissolution, or upon Mr. Toor’s death. The agreement includes standard confidentiality, invention assignment, and indemnification provisions. In addition, that agreement provides that upon Closing, Eagle will use its commercially reasonable efforts to cause New Eagle to issue the Consultant 90,000 stock options to purchase Common Stock at a price equal to the deemed price of the Common Stock being issued to the Eagle stockholders in connection with the Transaction, such stock options to be issued under the New Eagle Equity Plan.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Kuljit Basi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2024, Eagle entered into a consulting agreement with SVK Metrix Inc., a British Columbia corporation owned by Kuljit Basi. Pursuant to that agreement, Eagle pays SVK Metrix Inc. a consulting fee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$7,500 per month for the first 6 months and $15,000 per month thereafter to compensate it for the provision of Mr. Basi’s Vice President — Project Development services to Eagle. Further, Eagle agreed to reimburse Mr. Basi for pre-approved business expenses, provided they are documented in accordance with its company policy. Mr. Basi receives no additional compensation for serving on the Board of Directors. Eagle’s agreement with SVK Metrix Inc. may be terminated immediately for cause, by either party with 30 days’ written notice, or automatically upon bankruptcy, dissolution, or upon Mr. Basi’s death. The consulting agreement includes standard confidentiality, invention assignment, and indemnification provisions.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Yana Popova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 2024, Eagle entered into a consulting agreement with 727 Consulting Ltd, a British Columbia corporation owned by Yana Popova. Pursuant to that agreement, Eagle pays 727 Consulting Ltd. a fee of $15,000 per month to compensate it for the provision of Ms. Popova’s Chief Financial Officer services to Eagle. Further, Eagle agreed to reimburse Ms. Popova for pre-approved business expenses, provided they are documented in accordance with its company policy. Eagle’s agreement with 727 Consulting Ltd. may be terminated immediately for cause, by either party with 30 days’ written notice, or automatically upon bankruptcy, dissolution, or upon Ms. Popova’s death. The consulting agreement includes standard confidentiality, invention assignment, and indemnification provisions.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Employment Arrangements Following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Closing, Mark Mukhija and Ajaypreet Toor (each an “Executive”) are expected to enter into executive employment agreements (the “Executive Employment Agreements”) with New Eagle to serve as Chief Executive Officer and Chief Financial Officer, respectively, subject to Board approval. If approved by the Board, each agreement would provide for at-will employment commencing on the effective date and continuing until terminated in accordance with its terms (the “Term”). Subject to Board approval, Mr. Mukhija and Mr. Toor would initially receive annualized base salaries of $350,000 and $180,000, respectively, payable in accordance with New Eagle’s regular payroll practices (each, a “Base Salary”), and would be eligible for a discretionary annual performance bonus determined by the New Eagle Board based on corporate and individual performance. The Executives are also expected to be eligible to participate in New Eagle’s equity incentive plans, including the New Eagle Equity Plan, subject to the terms of those plans and applicable award agreements. In addition, each Executive is expected to be entitled to participate in New Eagle’s employee benefit plans and programs available to executives, reimbursement of reasonable business expenses, and vacation in accordance with New Eagle’s policies.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Executive Employment Agreements are expected to provide that employment may be terminated at any time (a) by New Eagle with or without Cause, (b) by New Eagle in the event that the Executive has incurred a Disability, (c) by the Executive with Good Reason (each as defined in the Executive Employment Agreements), (d) by the Executive without Good Reason, or (e) due to the Executive’s death.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approved, the Executive Employment Agreements would further provide that, upon a termination of employment by New Eagle for Cause, by the Executive without Good Reason, or due to Disability or the Executive’s death (in any case, the date that the Executive’s employment by New Eagle terminates is referred to as the “Severance Date”), New Eagle would have no further obligation to make or provide to the Executive, and the Executive shall have no further right to receive or obtain from New Eagle, any payments or benefits other than payment, within 30 days after the Severance Date, of (i) any Base Salary that has accrued but has not been paid (including accrued and unpaid vacation time) on or before the Severance Date; (ii) in the case of death or Disability, any bonus payment as provided pursuant to the Executive Employment Agreements, and (iii) any reimbursement due to the Executive for expenses incurred by the Executive on or before the Severance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approved, the Executive Employment Agreements would also provide that, upon a termination by New Eagle without Cause or by the Executive for Good Reason, the Executive would be entitled to receive the (i) severance equal to six months of Base Salary (the “Severance Period”), payable in installments, (ii) any earned but unpaid bonus for prior years, plus an amount equal to the average of the three most recent annual bonuses earned by the Executive prior to the Severance Date, and (iii) COBRA premium reimbursement for the Severance Period, subject to eligibility and timely election.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992"/>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approved, the Executive Employment Agreements would further provide that, if during the Term, the Executive’s employment is terminated by the Company without Cause or by the Executive with Good Reason, in either case within one year after a Change in Control (as defined in the Executive Employment Agreements) shall have occurred, all of the Executive’s then-unvested time-based equity awards would automatically vest in full as of the date of such termination of employment, without the need for any further action by the Company, the Board, or any committee thereof.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expected that the Executive Employment Agreements would also include standard confidentiality, non-competition (12 months post-termination), non-solicitation, and non-disparagement provisions.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description does not purport to be complete and is qualified in its entirely by the full text of the Form of Executive Employment Agreement, which is filed as an exhibit to the registration statement of which this prospectus forms a part.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Ajaypreet Toor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Toor Consulting Agreement, subject to Board approval, New Eagle is expected to issue 90,000 stock options to purchase Common Stock at a price equal to the fair market value of the Common Stock on the date of grant, such stock options to be issued under the New Eagle Equity Plan. Subject to Board approval, Mr. Toor also is also expected to receive an additional equity award of 10,000 RSUs, which will vest in quarterly installments over two years. No such equity awards will be issued unless and until approved by the Board.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Mark Mukhija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employment terms described above, subject to Board approval, Mr. Mukhija would be entitled to receive a $50,000 cash bonus payable upon the commencement of Eagle’s 2026 technical work program at the Aurora Uranium Project. Subject to the approval of the Board, Mr. Mukhija would also receive (i) a grant of 183,333 RSUs, and (ii) additional equity awards consisting of a mix of stock options and RSUs totaling 1,000,000 shares, with exact allocations to be determined by the Board, each issuable under the New Eagle Equity Plan. If approved, the stock options would vest immediately and the RSUs would vest in quarterly installments over two years. New Eagle anticipates that Mr. Mukhija will also receive the right to 43,873 Earnout Shares as his pro rata share of Eagle equity on a fully-diluted basis, giving effect to the issuance of such stock options and RSUs in clause (ii), above.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15, 2026, Mr. Mukhija was granted by New Eagle’s Compensation Committee (i) 250,000 restricted stock units and (ii) 750,000 stock options with an exercise price of $10.00 per share, each subject to a vesting schedule under which one-third vested immediately upon grant and the remaining two-thirds vest in equal installments on each of the first and second anniversaries of the grant date, in each case subject to Mr. Mukhija’s continued service to New Eagle.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as of the Year Ended November 30,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number of units underlying outstanding equity incentive plan awards for each NEO as of November 30, 2025. </w:t>
      </w:r>
    </w:p>
    <w:tbl>
      <w:tblPr>
        <w:tblW w:w="12239" w:type="dxa"/>
        <w:jc w:val="left"/>
        <w:tblInd w:w="1393" w:type="dxa"/>
        <w:tblLayout w:type="fixed"/>
        <w:tblCellMar>
          <w:top w:w="0" w:type="dxa"/>
          <w:left w:w="0" w:type="dxa"/>
          <w:bottom w:w="28" w:type="dxa"/>
          <w:right w:w="0" w:type="dxa"/>
        </w:tblCellMar>
      </w:tblPr>
      <w:tblGrid>
        <w:gridCol w:w="940"/>
        <w:gridCol w:w="109"/>
        <w:gridCol w:w="109"/>
        <w:gridCol w:w="178"/>
        <w:gridCol w:w="178"/>
        <w:gridCol w:w="665"/>
        <w:gridCol w:w="180"/>
        <w:gridCol w:w="109"/>
        <w:gridCol w:w="109"/>
        <w:gridCol w:w="202"/>
        <w:gridCol w:w="202"/>
        <w:gridCol w:w="753"/>
        <w:gridCol w:w="203"/>
        <w:gridCol w:w="109"/>
        <w:gridCol w:w="109"/>
        <w:gridCol w:w="178"/>
        <w:gridCol w:w="178"/>
        <w:gridCol w:w="665"/>
        <w:gridCol w:w="180"/>
        <w:gridCol w:w="109"/>
        <w:gridCol w:w="109"/>
        <w:gridCol w:w="126"/>
        <w:gridCol w:w="126"/>
        <w:gridCol w:w="470"/>
        <w:gridCol w:w="128"/>
        <w:gridCol w:w="109"/>
        <w:gridCol w:w="109"/>
        <w:gridCol w:w="152"/>
        <w:gridCol w:w="152"/>
        <w:gridCol w:w="567"/>
        <w:gridCol w:w="153"/>
        <w:gridCol w:w="109"/>
        <w:gridCol w:w="109"/>
        <w:gridCol w:w="129"/>
        <w:gridCol w:w="129"/>
        <w:gridCol w:w="482"/>
        <w:gridCol w:w="131"/>
        <w:gridCol w:w="109"/>
        <w:gridCol w:w="109"/>
        <w:gridCol w:w="113"/>
        <w:gridCol w:w="113"/>
        <w:gridCol w:w="424"/>
        <w:gridCol w:w="116"/>
        <w:gridCol w:w="109"/>
        <w:gridCol w:w="109"/>
        <w:gridCol w:w="142"/>
        <w:gridCol w:w="142"/>
        <w:gridCol w:w="528"/>
        <w:gridCol w:w="143"/>
        <w:gridCol w:w="109"/>
        <w:gridCol w:w="109"/>
        <w:gridCol w:w="142"/>
        <w:gridCol w:w="142"/>
        <w:gridCol w:w="528"/>
        <w:gridCol w:w="143"/>
        <w:gridCol w:w="154"/>
      </w:tblGrid>
      <w:tr>
        <w:trPr/>
        <w:tc>
          <w:tcPr>
            <w:tcW w:w="9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508"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01"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40" w:type="dxa"/>
            <w:tcBorders>
              <w:bottom w:val="single" w:sz="2" w:space="0" w:color="000000"/>
            </w:tcBorders>
            <w:tcMar>
              <w:bottom w:w="43" w:type="dxa"/>
            </w:tcMar>
            <w:vAlign w:val="center"/>
          </w:tcPr>
          <w:p>
            <w:pPr>
              <w:pStyle w:val="TableContents"/>
              <w:bidi w:val="0"/>
              <w:spacing w:before="0" w:after="0"/>
              <w:jc w:val="left"/>
              <w:rPr/>
            </w:pPr>
            <w:r>
              <w:rPr>
                <w:spacing w:val="-3"/>
              </w:rPr>
              <w:t>Name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securities</w:t>
            </w:r>
            <w:r>
              <w:rPr/>
              <w:t xml:space="preserve"> </w:t>
              <w:br/>
            </w:r>
            <w:r>
              <w:rPr>
                <w:spacing w:val="-3"/>
              </w:rPr>
              <w:t>underlying</w:t>
            </w:r>
            <w:r>
              <w:rPr/>
              <w:t xml:space="preserve"> </w:t>
              <w:br/>
            </w:r>
            <w:r>
              <w:rPr>
                <w:spacing w:val="-3"/>
              </w:rPr>
              <w:t>unexercised</w:t>
            </w:r>
            <w:r>
              <w:rPr/>
              <w:t xml:space="preserve"> </w:t>
              <w:br/>
            </w:r>
            <w:r>
              <w:rPr>
                <w:spacing w:val="-3"/>
              </w:rPr>
              <w:t>options</w:t>
            </w:r>
            <w:r>
              <w:rPr/>
              <w:t xml:space="preserve"> </w:t>
              <w:br/>
            </w:r>
            <w:r>
              <w:rPr>
                <w:spacing w:val="-3"/>
              </w:rPr>
              <w:t>exercisable</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securities</w:t>
            </w:r>
            <w:r>
              <w:rPr/>
              <w:t xml:space="preserve"> </w:t>
              <w:br/>
            </w:r>
            <w:r>
              <w:rPr>
                <w:spacing w:val="-3"/>
              </w:rPr>
              <w:t>underlying</w:t>
            </w:r>
            <w:r>
              <w:rPr/>
              <w:t xml:space="preserve"> </w:t>
              <w:br/>
            </w:r>
            <w:r>
              <w:rPr>
                <w:spacing w:val="-3"/>
              </w:rPr>
              <w:t>unexercised</w:t>
            </w:r>
            <w:r>
              <w:rPr/>
              <w:t xml:space="preserve"> </w:t>
              <w:br/>
            </w:r>
            <w:r>
              <w:rPr>
                <w:spacing w:val="-3"/>
              </w:rPr>
              <w:t>options</w:t>
            </w:r>
            <w:r>
              <w:rPr/>
              <w:t xml:space="preserve"> </w:t>
              <w:br/>
            </w:r>
            <w:r>
              <w:rPr>
                <w:spacing w:val="-3"/>
              </w:rPr>
              <w:t>unexercisable</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Equity</w:t>
            </w:r>
            <w:r>
              <w:rPr/>
              <w:t xml:space="preserve"> </w:t>
              <w:br/>
            </w:r>
            <w:r>
              <w:rPr>
                <w:spacing w:val="-3"/>
              </w:rPr>
              <w:t>incentive</w:t>
            </w:r>
            <w:r>
              <w:rPr/>
              <w:t xml:space="preserve"> </w:t>
              <w:br/>
            </w:r>
            <w:r>
              <w:rPr>
                <w:spacing w:val="-3"/>
              </w:rPr>
              <w:t>plan</w:t>
            </w:r>
            <w:r>
              <w:rPr/>
              <w:t xml:space="preserve"> </w:t>
              <w:br/>
            </w:r>
            <w:r>
              <w:rPr>
                <w:spacing w:val="-3"/>
              </w:rPr>
              <w:t>awards:</w:t>
            </w:r>
            <w:r>
              <w:rPr/>
              <w:t xml:space="preserve"> </w:t>
              <w:br/>
            </w:r>
            <w:r>
              <w:rPr>
                <w:spacing w:val="-3"/>
              </w:rPr>
              <w:t>Number of</w:t>
            </w:r>
            <w:r>
              <w:rPr/>
              <w:t xml:space="preserve"> </w:t>
              <w:br/>
            </w:r>
            <w:r>
              <w:rPr>
                <w:spacing w:val="-3"/>
              </w:rPr>
              <w:t>securities</w:t>
            </w:r>
            <w:r>
              <w:rPr/>
              <w:t xml:space="preserve"> </w:t>
              <w:br/>
            </w:r>
            <w:r>
              <w:rPr>
                <w:spacing w:val="-3"/>
              </w:rPr>
              <w:t>underlying</w:t>
            </w:r>
            <w:r>
              <w:rPr/>
              <w:t xml:space="preserve"> </w:t>
              <w:br/>
            </w:r>
            <w:r>
              <w:rPr>
                <w:spacing w:val="-3"/>
              </w:rPr>
              <w:t>unexercised</w:t>
            </w:r>
            <w:r>
              <w:rPr/>
              <w:t xml:space="preserve"> </w:t>
              <w:br/>
            </w:r>
            <w:r>
              <w:rPr>
                <w:spacing w:val="-3"/>
              </w:rPr>
              <w:t>unearned</w:t>
            </w:r>
            <w:r>
              <w:rPr/>
              <w:t xml:space="preserve"> </w:t>
              <w:br/>
            </w:r>
            <w:r>
              <w:rPr>
                <w:spacing w:val="-3"/>
              </w:rPr>
              <w:t>options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Option</w:t>
            </w:r>
            <w:r>
              <w:rPr/>
              <w:t xml:space="preserve"> </w:t>
              <w:br/>
            </w:r>
            <w:r>
              <w:rPr>
                <w:spacing w:val="-3"/>
              </w:rPr>
              <w:t>exercise</w:t>
            </w:r>
            <w:r>
              <w:rPr/>
              <w:t xml:space="preserve"> </w:t>
              <w:br/>
            </w:r>
            <w:r>
              <w:rPr>
                <w:spacing w:val="-3"/>
              </w:rPr>
              <w:t>price</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Option</w:t>
            </w:r>
            <w:r>
              <w:rPr/>
              <w:t xml:space="preserve"> </w:t>
              <w:br/>
            </w:r>
            <w:r>
              <w:rPr>
                <w:spacing w:val="-3"/>
              </w:rPr>
              <w:t>expiration</w:t>
            </w:r>
            <w:r>
              <w:rPr/>
              <w:t xml:space="preserve"> </w:t>
              <w:br/>
            </w:r>
            <w:r>
              <w:rPr>
                <w:spacing w:val="-3"/>
              </w:rP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w:t>
            </w:r>
            <w:r>
              <w:rPr/>
              <w:t xml:space="preserve"> </w:t>
              <w:br/>
            </w:r>
            <w:r>
              <w:rPr>
                <w:spacing w:val="-3"/>
              </w:rPr>
              <w:t>of shares</w:t>
            </w:r>
            <w:r>
              <w:rPr/>
              <w:t xml:space="preserve"> </w:t>
              <w:br/>
            </w:r>
            <w:r>
              <w:rPr>
                <w:spacing w:val="-3"/>
              </w:rPr>
              <w:t>or units of</w:t>
            </w:r>
            <w:r>
              <w:rPr/>
              <w:t xml:space="preserve"> </w:t>
              <w:br/>
            </w:r>
            <w:r>
              <w:rPr>
                <w:spacing w:val="-3"/>
              </w:rPr>
              <w:t>stock that</w:t>
            </w:r>
            <w:r>
              <w:rPr/>
              <w:t xml:space="preserve"> </w:t>
              <w:br/>
            </w:r>
            <w:r>
              <w:rPr>
                <w:spacing w:val="-3"/>
              </w:rPr>
              <w:t>have not</w:t>
            </w:r>
            <w:r>
              <w:rPr/>
              <w:t xml:space="preserve"> </w:t>
              <w:br/>
            </w:r>
            <w:r>
              <w:rPr>
                <w:spacing w:val="-3"/>
              </w:rPr>
              <w:t>vested</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Market</w:t>
            </w:r>
            <w:r>
              <w:rPr/>
              <w:t xml:space="preserve"> </w:t>
              <w:br/>
            </w:r>
            <w:r>
              <w:rPr>
                <w:spacing w:val="-3"/>
              </w:rPr>
              <w:t>value of</w:t>
            </w:r>
            <w:r>
              <w:rPr/>
              <w:t xml:space="preserve"> </w:t>
              <w:br/>
            </w:r>
            <w:r>
              <w:rPr>
                <w:spacing w:val="-3"/>
              </w:rPr>
              <w:t>shares of</w:t>
            </w:r>
            <w:r>
              <w:rPr/>
              <w:t xml:space="preserve"> </w:t>
              <w:br/>
            </w:r>
            <w:r>
              <w:rPr>
                <w:spacing w:val="-3"/>
              </w:rPr>
              <w:t>units of</w:t>
            </w:r>
            <w:r>
              <w:rPr/>
              <w:t xml:space="preserve"> </w:t>
              <w:br/>
            </w:r>
            <w:r>
              <w:rPr>
                <w:spacing w:val="-3"/>
              </w:rPr>
              <w:t>stock that</w:t>
            </w:r>
            <w:r>
              <w:rPr/>
              <w:t xml:space="preserve"> </w:t>
              <w:br/>
            </w:r>
            <w:r>
              <w:rPr>
                <w:spacing w:val="-3"/>
              </w:rPr>
              <w:t>have not</w:t>
            </w:r>
            <w:r>
              <w:rPr/>
              <w:t xml:space="preserve"> </w:t>
              <w:br/>
            </w:r>
            <w:r>
              <w:rPr>
                <w:spacing w:val="-3"/>
              </w:rPr>
              <w:t>vested</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Equity</w:t>
            </w:r>
            <w:r>
              <w:rPr/>
              <w:t xml:space="preserve"> </w:t>
              <w:br/>
            </w:r>
            <w:r>
              <w:rPr>
                <w:spacing w:val="-3"/>
              </w:rPr>
              <w:t>incentive</w:t>
            </w:r>
            <w:r>
              <w:rPr/>
              <w:t xml:space="preserve"> </w:t>
              <w:br/>
            </w:r>
            <w:r>
              <w:rPr>
                <w:spacing w:val="-3"/>
              </w:rPr>
              <w:t>plan</w:t>
            </w:r>
            <w:r>
              <w:rPr/>
              <w:t xml:space="preserve"> </w:t>
              <w:br/>
            </w:r>
            <w:r>
              <w:rPr>
                <w:spacing w:val="-3"/>
              </w:rPr>
              <w:t>awards:</w:t>
            </w:r>
            <w:r>
              <w:rPr/>
              <w:t xml:space="preserve"> </w:t>
              <w:br/>
            </w:r>
            <w:r>
              <w:rPr>
                <w:spacing w:val="-3"/>
              </w:rPr>
              <w:t>Number of</w:t>
            </w:r>
            <w:r>
              <w:rPr/>
              <w:t xml:space="preserve"> </w:t>
              <w:br/>
            </w:r>
            <w:r>
              <w:rPr>
                <w:spacing w:val="-3"/>
              </w:rPr>
              <w:t>unearned</w:t>
            </w:r>
            <w:r>
              <w:rPr/>
              <w:t xml:space="preserve"> </w:t>
              <w:br/>
            </w:r>
            <w:r>
              <w:rPr>
                <w:spacing w:val="-3"/>
              </w:rPr>
              <w:t>shares,</w:t>
            </w:r>
            <w:r>
              <w:rPr/>
              <w:t xml:space="preserve"> </w:t>
              <w:br/>
            </w:r>
            <w:r>
              <w:rPr>
                <w:spacing w:val="-3"/>
              </w:rPr>
              <w:t>units or</w:t>
            </w:r>
            <w:r>
              <w:rPr/>
              <w:t xml:space="preserve"> </w:t>
              <w:br/>
            </w:r>
            <w:r>
              <w:rPr>
                <w:spacing w:val="-3"/>
              </w:rPr>
              <w:t>other rights</w:t>
            </w:r>
            <w:r>
              <w:rPr/>
              <w:t xml:space="preserve"> </w:t>
              <w:br/>
            </w:r>
            <w:r>
              <w:rPr>
                <w:spacing w:val="-3"/>
              </w:rPr>
              <w:t>that have</w:t>
            </w:r>
            <w:r>
              <w:rPr/>
              <w:t xml:space="preserve"> </w:t>
              <w:br/>
            </w:r>
            <w:r>
              <w:rPr>
                <w:spacing w:val="-3"/>
              </w:rPr>
              <w:t>not vested</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Equity</w:t>
            </w:r>
            <w:r>
              <w:rPr/>
              <w:t xml:space="preserve"> </w:t>
              <w:br/>
            </w:r>
            <w:r>
              <w:rPr>
                <w:spacing w:val="-3"/>
              </w:rPr>
              <w:t>incentive</w:t>
            </w:r>
            <w:r>
              <w:rPr/>
              <w:t xml:space="preserve"> </w:t>
              <w:br/>
            </w:r>
            <w:r>
              <w:rPr>
                <w:spacing w:val="-3"/>
              </w:rPr>
              <w:t>plan</w:t>
            </w:r>
            <w:r>
              <w:rPr/>
              <w:t xml:space="preserve"> </w:t>
              <w:br/>
            </w:r>
            <w:r>
              <w:rPr>
                <w:spacing w:val="-3"/>
              </w:rPr>
              <w:t>awards:</w:t>
            </w:r>
            <w:r>
              <w:rPr/>
              <w:t xml:space="preserve"> </w:t>
              <w:br/>
            </w:r>
            <w:r>
              <w:rPr>
                <w:spacing w:val="-3"/>
              </w:rPr>
              <w:t>Market or</w:t>
            </w:r>
            <w:r>
              <w:rPr/>
              <w:t xml:space="preserve"> </w:t>
              <w:br/>
            </w:r>
            <w:r>
              <w:rPr>
                <w:spacing w:val="-3"/>
              </w:rPr>
              <w:t>payout</w:t>
            </w:r>
            <w:r>
              <w:rPr/>
              <w:t xml:space="preserve"> </w:t>
              <w:br/>
            </w:r>
            <w:r>
              <w:rPr>
                <w:spacing w:val="-3"/>
              </w:rPr>
              <w:t>value of</w:t>
            </w:r>
            <w:r>
              <w:rPr/>
              <w:t xml:space="preserve"> </w:t>
              <w:br/>
            </w:r>
            <w:r>
              <w:rPr>
                <w:spacing w:val="-3"/>
              </w:rPr>
              <w:t>unearned</w:t>
            </w:r>
            <w:r>
              <w:rPr/>
              <w:t xml:space="preserve"> </w:t>
              <w:br/>
            </w:r>
            <w:r>
              <w:rPr>
                <w:spacing w:val="-3"/>
              </w:rPr>
              <w:t>shares,</w:t>
            </w:r>
            <w:r>
              <w:rPr/>
              <w:t xml:space="preserve"> </w:t>
              <w:br/>
            </w:r>
            <w:r>
              <w:rPr>
                <w:spacing w:val="-3"/>
              </w:rPr>
              <w:t>units or</w:t>
            </w:r>
            <w:r>
              <w:rPr/>
              <w:t xml:space="preserve"> </w:t>
              <w:br/>
            </w:r>
            <w:r>
              <w:rPr>
                <w:spacing w:val="-3"/>
              </w:rPr>
              <w:t>other rights</w:t>
            </w:r>
            <w:r>
              <w:rPr/>
              <w:t xml:space="preserve"> </w:t>
              <w:br/>
            </w:r>
            <w:r>
              <w:rPr>
                <w:spacing w:val="-3"/>
              </w:rPr>
              <w:t>that have</w:t>
            </w:r>
            <w:r>
              <w:rPr/>
              <w:t xml:space="preserve"> </w:t>
              <w:br/>
            </w:r>
            <w:r>
              <w:rPr>
                <w:spacing w:val="-3"/>
              </w:rPr>
              <w:t>not vested</w:t>
            </w:r>
            <w:r>
              <w:rPr/>
              <w:t xml:space="preserve"> </w:t>
              <w:br/>
            </w: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40" w:type="dxa"/>
            <w:tcBorders/>
            <w:shd w:fill="CCEEFF" w:val="clear"/>
            <w:tcMar>
              <w:bottom w:w="0" w:type="dxa"/>
            </w:tcMar>
            <w:vAlign w:val="center"/>
          </w:tcPr>
          <w:p>
            <w:pPr>
              <w:pStyle w:val="TableContents"/>
              <w:bidi w:val="0"/>
              <w:spacing w:before="0" w:after="0"/>
              <w:jc w:val="left"/>
              <w:rPr>
                <w:spacing w:val="4"/>
              </w:rPr>
            </w:pPr>
            <w:r>
              <w:rPr>
                <w:spacing w:val="4"/>
              </w:rPr>
              <w:t xml:space="preserve">Mark Mukhija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Nil</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753" w:type="dxa"/>
            <w:tcBorders/>
            <w:shd w:fill="CCEEFF" w:val="clear"/>
            <w:tcMar>
              <w:bottom w:w="0" w:type="dxa"/>
            </w:tcMar>
            <w:vAlign w:val="center"/>
          </w:tcPr>
          <w:p>
            <w:pPr>
              <w:pStyle w:val="TableContents"/>
              <w:bidi w:val="0"/>
              <w:spacing w:before="0" w:after="283"/>
              <w:jc w:val="right"/>
              <w:rPr/>
            </w:pPr>
            <w:r>
              <w:rPr/>
              <w:t>Nil</w:t>
            </w:r>
          </w:p>
        </w:tc>
        <w:tc>
          <w:tcPr>
            <w:tcW w:w="2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Nil</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Nil</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567" w:type="dxa"/>
            <w:tcBorders/>
            <w:shd w:fill="CCEEFF" w:val="clear"/>
            <w:tcMar>
              <w:bottom w:w="0" w:type="dxa"/>
            </w:tcMar>
            <w:vAlign w:val="center"/>
          </w:tcPr>
          <w:p>
            <w:pPr>
              <w:pStyle w:val="TableContents"/>
              <w:bidi w:val="0"/>
              <w:spacing w:before="0" w:after="283"/>
              <w:jc w:val="right"/>
              <w:rPr/>
            </w:pPr>
            <w:r>
              <w:rPr/>
              <w:t>Nil</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482" w:type="dxa"/>
            <w:tcBorders/>
            <w:shd w:fill="CCEEFF" w:val="clear"/>
            <w:tcMar>
              <w:bottom w:w="0" w:type="dxa"/>
            </w:tcMar>
            <w:vAlign w:val="center"/>
          </w:tcPr>
          <w:p>
            <w:pPr>
              <w:pStyle w:val="TableContents"/>
              <w:bidi w:val="0"/>
              <w:spacing w:before="0" w:after="283"/>
              <w:jc w:val="right"/>
              <w:rPr/>
            </w:pPr>
            <w:r>
              <w:rPr/>
              <w:t>Nil</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424" w:type="dxa"/>
            <w:tcBorders/>
            <w:shd w:fill="CCEEFF" w:val="clear"/>
            <w:tcMar>
              <w:bottom w:w="0" w:type="dxa"/>
            </w:tcMar>
            <w:vAlign w:val="center"/>
          </w:tcPr>
          <w:p>
            <w:pPr>
              <w:pStyle w:val="TableContents"/>
              <w:bidi w:val="0"/>
              <w:spacing w:before="0" w:after="283"/>
              <w:jc w:val="right"/>
              <w:rPr/>
            </w:pPr>
            <w:r>
              <w:rPr/>
              <w:t>Nil</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r>
              <w:rPr/>
              <w:t>Nil</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r>
              <w:rPr/>
              <w:t>Nil</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40" w:type="dxa"/>
            <w:tcBorders/>
            <w:tcMar>
              <w:bottom w:w="0" w:type="dxa"/>
            </w:tcMar>
            <w:vAlign w:val="center"/>
          </w:tcPr>
          <w:p>
            <w:pPr>
              <w:pStyle w:val="TableContents"/>
              <w:bidi w:val="0"/>
              <w:spacing w:before="0" w:after="0"/>
              <w:jc w:val="left"/>
              <w:rPr>
                <w:spacing w:val="4"/>
              </w:rPr>
            </w:pPr>
            <w:r>
              <w:rPr>
                <w:spacing w:val="4"/>
              </w:rPr>
              <w:t xml:space="preserve">Ajay Toor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Nil</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753" w:type="dxa"/>
            <w:tcBorders/>
            <w:tcMar>
              <w:bottom w:w="0" w:type="dxa"/>
            </w:tcMar>
            <w:vAlign w:val="center"/>
          </w:tcPr>
          <w:p>
            <w:pPr>
              <w:pStyle w:val="TableContents"/>
              <w:bidi w:val="0"/>
              <w:spacing w:before="0" w:after="283"/>
              <w:jc w:val="right"/>
              <w:rPr/>
            </w:pPr>
            <w:r>
              <w:rPr/>
              <w:t>Nil</w:t>
            </w:r>
          </w:p>
        </w:tc>
        <w:tc>
          <w:tcPr>
            <w:tcW w:w="2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Nil</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470" w:type="dxa"/>
            <w:tcBorders/>
            <w:tcMar>
              <w:bottom w:w="0" w:type="dxa"/>
            </w:tcMar>
            <w:vAlign w:val="center"/>
          </w:tcPr>
          <w:p>
            <w:pPr>
              <w:pStyle w:val="TableContents"/>
              <w:bidi w:val="0"/>
              <w:spacing w:before="0" w:after="283"/>
              <w:jc w:val="right"/>
              <w:rPr/>
            </w:pPr>
            <w:r>
              <w:rPr/>
              <w:t>Nil</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567" w:type="dxa"/>
            <w:tcBorders/>
            <w:tcMar>
              <w:bottom w:w="0" w:type="dxa"/>
            </w:tcMar>
            <w:vAlign w:val="center"/>
          </w:tcPr>
          <w:p>
            <w:pPr>
              <w:pStyle w:val="TableContents"/>
              <w:bidi w:val="0"/>
              <w:spacing w:before="0" w:after="283"/>
              <w:jc w:val="right"/>
              <w:rPr/>
            </w:pPr>
            <w:r>
              <w:rPr/>
              <w:t>Nil</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482" w:type="dxa"/>
            <w:tcBorders/>
            <w:tcMar>
              <w:bottom w:w="0" w:type="dxa"/>
            </w:tcMar>
            <w:vAlign w:val="center"/>
          </w:tcPr>
          <w:p>
            <w:pPr>
              <w:pStyle w:val="TableContents"/>
              <w:bidi w:val="0"/>
              <w:spacing w:before="0" w:after="283"/>
              <w:jc w:val="right"/>
              <w:rPr/>
            </w:pPr>
            <w:r>
              <w:rPr/>
              <w:t>Nil</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424" w:type="dxa"/>
            <w:tcBorders/>
            <w:tcMar>
              <w:bottom w:w="0" w:type="dxa"/>
            </w:tcMar>
            <w:vAlign w:val="center"/>
          </w:tcPr>
          <w:p>
            <w:pPr>
              <w:pStyle w:val="TableContents"/>
              <w:bidi w:val="0"/>
              <w:spacing w:before="0" w:after="283"/>
              <w:jc w:val="right"/>
              <w:rPr/>
            </w:pPr>
            <w:r>
              <w:rPr/>
              <w:t>Nil</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r>
              <w:rPr/>
              <w:t>Nil</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r>
              <w:rPr/>
              <w:t>Nil</w:t>
            </w:r>
          </w:p>
        </w:tc>
        <w:tc>
          <w:tcPr>
            <w:tcW w:w="1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40" w:type="dxa"/>
            <w:tcBorders/>
            <w:shd w:fill="CCEEFF" w:val="clear"/>
            <w:tcMar>
              <w:bottom w:w="0" w:type="dxa"/>
            </w:tcMar>
            <w:vAlign w:val="center"/>
          </w:tcPr>
          <w:p>
            <w:pPr>
              <w:pStyle w:val="TableContents"/>
              <w:bidi w:val="0"/>
              <w:spacing w:before="0" w:after="0"/>
              <w:jc w:val="left"/>
              <w:rPr>
                <w:spacing w:val="4"/>
              </w:rPr>
            </w:pPr>
            <w:r>
              <w:rPr>
                <w:spacing w:val="4"/>
              </w:rPr>
              <w:t xml:space="preserve">Kuljit Basi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Nil</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753" w:type="dxa"/>
            <w:tcBorders/>
            <w:shd w:fill="CCEEFF" w:val="clear"/>
            <w:tcMar>
              <w:bottom w:w="0" w:type="dxa"/>
            </w:tcMar>
            <w:vAlign w:val="center"/>
          </w:tcPr>
          <w:p>
            <w:pPr>
              <w:pStyle w:val="TableContents"/>
              <w:bidi w:val="0"/>
              <w:spacing w:before="0" w:after="283"/>
              <w:jc w:val="right"/>
              <w:rPr/>
            </w:pPr>
            <w:r>
              <w:rPr/>
              <w:t>Nil</w:t>
            </w:r>
          </w:p>
        </w:tc>
        <w:tc>
          <w:tcPr>
            <w:tcW w:w="2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Nil</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Nil</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567" w:type="dxa"/>
            <w:tcBorders/>
            <w:shd w:fill="CCEEFF" w:val="clear"/>
            <w:tcMar>
              <w:bottom w:w="0" w:type="dxa"/>
            </w:tcMar>
            <w:vAlign w:val="center"/>
          </w:tcPr>
          <w:p>
            <w:pPr>
              <w:pStyle w:val="TableContents"/>
              <w:bidi w:val="0"/>
              <w:spacing w:before="0" w:after="283"/>
              <w:jc w:val="right"/>
              <w:rPr/>
            </w:pPr>
            <w:r>
              <w:rPr/>
              <w:t>Nil</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482" w:type="dxa"/>
            <w:tcBorders/>
            <w:shd w:fill="CCEEFF" w:val="clear"/>
            <w:tcMar>
              <w:bottom w:w="0" w:type="dxa"/>
            </w:tcMar>
            <w:vAlign w:val="center"/>
          </w:tcPr>
          <w:p>
            <w:pPr>
              <w:pStyle w:val="TableContents"/>
              <w:bidi w:val="0"/>
              <w:spacing w:before="0" w:after="283"/>
              <w:jc w:val="right"/>
              <w:rPr/>
            </w:pPr>
            <w:r>
              <w:rPr/>
              <w:t>Nil</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424" w:type="dxa"/>
            <w:tcBorders/>
            <w:shd w:fill="CCEEFF" w:val="clear"/>
            <w:tcMar>
              <w:bottom w:w="0" w:type="dxa"/>
            </w:tcMar>
            <w:vAlign w:val="center"/>
          </w:tcPr>
          <w:p>
            <w:pPr>
              <w:pStyle w:val="TableContents"/>
              <w:bidi w:val="0"/>
              <w:spacing w:before="0" w:after="283"/>
              <w:jc w:val="right"/>
              <w:rPr/>
            </w:pPr>
            <w:r>
              <w:rPr/>
              <w:t>Nil</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r>
              <w:rPr/>
              <w:t>Nil</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r>
              <w:rPr/>
              <w:t>Nil</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40" w:type="dxa"/>
            <w:tcBorders/>
            <w:tcMar>
              <w:bottom w:w="0" w:type="dxa"/>
            </w:tcMar>
            <w:vAlign w:val="center"/>
          </w:tcPr>
          <w:p>
            <w:pPr>
              <w:pStyle w:val="TableContents"/>
              <w:bidi w:val="0"/>
              <w:spacing w:before="0" w:after="0"/>
              <w:jc w:val="left"/>
              <w:rPr>
                <w:spacing w:val="4"/>
              </w:rPr>
            </w:pPr>
            <w:r>
              <w:rPr>
                <w:spacing w:val="4"/>
              </w:rPr>
              <w:t xml:space="preserve">Yana Popova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Nil</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753" w:type="dxa"/>
            <w:tcBorders/>
            <w:tcMar>
              <w:bottom w:w="0" w:type="dxa"/>
            </w:tcMar>
            <w:vAlign w:val="center"/>
          </w:tcPr>
          <w:p>
            <w:pPr>
              <w:pStyle w:val="TableContents"/>
              <w:bidi w:val="0"/>
              <w:spacing w:before="0" w:after="283"/>
              <w:jc w:val="right"/>
              <w:rPr/>
            </w:pPr>
            <w:r>
              <w:rPr/>
              <w:t>Nil</w:t>
            </w:r>
          </w:p>
        </w:tc>
        <w:tc>
          <w:tcPr>
            <w:tcW w:w="2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Nil</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470" w:type="dxa"/>
            <w:tcBorders/>
            <w:tcMar>
              <w:bottom w:w="0" w:type="dxa"/>
            </w:tcMar>
            <w:vAlign w:val="center"/>
          </w:tcPr>
          <w:p>
            <w:pPr>
              <w:pStyle w:val="TableContents"/>
              <w:bidi w:val="0"/>
              <w:spacing w:before="0" w:after="283"/>
              <w:jc w:val="right"/>
              <w:rPr/>
            </w:pPr>
            <w:r>
              <w:rPr/>
              <w:t>Nil</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567" w:type="dxa"/>
            <w:tcBorders/>
            <w:tcMar>
              <w:bottom w:w="0" w:type="dxa"/>
            </w:tcMar>
            <w:vAlign w:val="center"/>
          </w:tcPr>
          <w:p>
            <w:pPr>
              <w:pStyle w:val="TableContents"/>
              <w:bidi w:val="0"/>
              <w:spacing w:before="0" w:after="283"/>
              <w:jc w:val="right"/>
              <w:rPr/>
            </w:pPr>
            <w:r>
              <w:rPr/>
              <w:t>Nil</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482" w:type="dxa"/>
            <w:tcBorders/>
            <w:tcMar>
              <w:bottom w:w="0" w:type="dxa"/>
            </w:tcMar>
            <w:vAlign w:val="center"/>
          </w:tcPr>
          <w:p>
            <w:pPr>
              <w:pStyle w:val="TableContents"/>
              <w:bidi w:val="0"/>
              <w:spacing w:before="0" w:after="283"/>
              <w:jc w:val="right"/>
              <w:rPr/>
            </w:pPr>
            <w:r>
              <w:rPr/>
              <w:t>Nil</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424" w:type="dxa"/>
            <w:tcBorders/>
            <w:tcMar>
              <w:bottom w:w="0" w:type="dxa"/>
            </w:tcMar>
            <w:vAlign w:val="center"/>
          </w:tcPr>
          <w:p>
            <w:pPr>
              <w:pStyle w:val="TableContents"/>
              <w:bidi w:val="0"/>
              <w:spacing w:before="0" w:after="283"/>
              <w:jc w:val="right"/>
              <w:rPr/>
            </w:pPr>
            <w:r>
              <w:rPr/>
              <w:t>Nil</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r>
              <w:rPr/>
              <w:t>Nil</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r>
              <w:rPr/>
              <w:t>Nil</w:t>
            </w:r>
          </w:p>
        </w:tc>
        <w:tc>
          <w:tcPr>
            <w:tcW w:w="1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1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Eagle Equity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the Closing, New Eagle intends to adopt the New Eagle Equity Plan, subject to shareholder approval at the special meeting. For more information on the New Eagle Equity Plan see the section entitled “</w:t>
      </w:r>
      <w:r>
        <w:rPr>
          <w:rFonts w:ascii="Times New Roman;Times;serif" w:hAnsi="Times New Roman;Times;serif"/>
          <w:b w:val="false"/>
          <w:i/>
          <w:caps w:val="false"/>
          <w:smallCaps w:val="false"/>
          <w:color w:val="000000"/>
          <w:spacing w:val="4"/>
          <w:sz w:val="20"/>
        </w:rPr>
        <w:t>Proposal No. 3 — The Equity Plan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Non-Employee 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Eagle had no non-employee directors for the year ended November 30, 2025, and therefore did not pay any compensation to non-employee directors for their services as a directors for the year ended November 30,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the New Eagle Equity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summary of the New Eagle Equity Plan.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Types of Awards; Shares Available for Awards; Share Counting Rules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Eagle Equity Plan provides for the grant of incentive stock options intended to qualify under Section 422 of the Code, nonstatutory stock options, SARs, restricted stock, RSUs and other stock-based awards, as described below (collectively, “awards”).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adjustment in the event of stock splits, stock dividends and other similar events, awards may be made under the New Eagle Equity Plan for up to 4,437,008 shares of Common Stock, which is equal to the sum of 15% of the outstanding shares of all classes of Common Stock as determined immediately after the Closing of the Business Combination, subject to an annual increase, to be added on the first day of each fiscal year, commencing on January 1, 2027 and continuing until, and including, January 1, 2035, equal to the lesser of (i) 5% of the outstanding shares of all classes of Common Stock on such date or (ii) such lesser number of shares of Common Stock as determined by the Board (the “Share 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Share Reserve, awards may be made for up to an additional 1,500,000 shares of Common Stock (the “Earnout Share Pool”) to be granted to eligible Eagle shareholders as “Earnout Shares” in accordance with the terms of the Merger Agreement. The Earnout Shares are in addition to and will not reduce the Share Reserve. In the event no Earnout Shares are released in accordance with the terms of the Merger Agreement, the Earnout Share Pool hereunder shall expire and be of no further force or effect and no awards may be granted under such Earnout Share Pool.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and subject to adjustment for stock splits, stock dividends, and certain other similar events, not more than the number of shares of Common Stock included in the initial Share Reserve (without annual adjustments) may be issued as incentive stock options. In addition, in no event shall the fair market value of awards made under the New Eagle Equity Plan to non-employee directors of New Eagle or its affiliates exceed $750,000, in the aggregate, in any one calendar year.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covered by awards under the New Eagle Equity Plan that expire or are terminated, surrendered, or cancelled without having been fully exercised or are forfeited in whole or in part or that result in any shares not being issued (including as a result of an award being settled in cash rather than stock) will be added back to the Share Reserve or the Earnout Share Pool, as applicable, and again be available for the grant of awards under the New Eagle Equity Plan (subject, in the case of incentive stock options, to any limitations under the Code).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Common Stock that are delivered (by actual delivery, attestation, or net exercise) to New Eagle by a participant to purchase shares of Common Stock upon exercise of an award or to satisfy tax withholding obligations (including shares retained from the award creating the tax obligation) will be added back to the Share Reserve or Earnout Share Pool, as applicable, and again be available for the future grant of awards under the New Eagle Equity Plan.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 merger or consolidation of an entity with New Eagle or New Eagle’s acquisition of property or stock of an entity, the Board may grant awards under the New Eagle Equity Plan in substitution for any options or other stock or stock-based awards granted by such entity or an affiliate thereof on such terms as the Board determines appropriate in the circumstances, notwithstanding any limitation on awards contained in the New Eagle Equity Plan. No such substitute awards shall count against the Share Reserve or Earnout Share Pool, or any sublimit contained in the New Eagle Equity Plan, except as required by reason of Section 422 and related provisions of the Code.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Descriptions of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Options.</w:t>
      </w:r>
      <w:r>
        <w:rPr>
          <w:rFonts w:ascii="Times New Roman;Times;serif" w:hAnsi="Times New Roman;Times;serif"/>
          <w:b w:val="false"/>
          <w:i w:val="false"/>
          <w:caps w:val="false"/>
          <w:smallCaps w:val="false"/>
          <w:color w:val="000000"/>
          <w:spacing w:val="4"/>
          <w:sz w:val="20"/>
        </w:rPr>
        <w:t xml:space="preserve">   A participant who is awarded an option receives the right to purchase a specified number of shares of Common Stock at a specified exercise price and subject to the other terms and conditions that are specified in connection with the award agreement. An option that is not intended to be an “incentive stock option” is a “nonstatutory stock option.” Options may not be granted at an exercise price that is less than 100% of the fair market value of Common Stock on the date of grant. If the Board approves the grant of an option with an exercise price to be determined on a future date, the exercise price may not be less than 100% of the fair market value of Common Stock on that future date. Under present law, incentive stock options may not be granted at an exercise price less than 110% of the fair market value in the case of stock options granted to participants who hold more than 10% of the total combined voting power of all classes of New Eagle’s stock or any of New Eagle’s subsidiaries. Under the terms of the New Eagle Equity Plan, options may not be granted for a term in excess of ten years (and, under present law, five years in the case of incentive stock options granted to participants who hold greater than 10% of the total combined voting power of all classes of New Eagle’s stock or any of New Eagle’s subsidiaries).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Eagle Equity Plan permits participants to pay the exercise price of options using one or more of the following manners of payment: (i) payment by cash or by check, (ii) except as may otherwise be provided in the applicable award agreement or approved by the Board, in connection with a “cashless exercise” through a broker, (iii) to the extent provided in the applicable award agreement or approved by the Board, and subject to certain conditions, by delivery to New Eagle (either by actual delivery or attestation) of shares of Common Stock owned by the participant valued at their fair market value, (iv) to the extent provided in an applicable nonstatutory stock option award agreement or approved by the Board, by delivery of a notice of “net exercise” as a result of which New Eagle will retain a number of shares of Common Stock otherwise issuable pursuant to the stock option equal to the aggregate exercise price for the portion of the option being exercised divided by the fair market value of Common Stock on the date of exercise, (v) to the extent permitted by applicable law and provided for in the applicable award agreement or approved by the Board, by any other lawful means, or (vi) by any combination of these forms of payment to the extent approved by the Board. No option granted under the New Eagle Equity Plan may contain a provision entitling the participant to the automatic grant of additional options in connection with any exercise of the original option. No options granted under the New Eagle Equity Plan may provide for the payment or accrual of dividend equivalents.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Appreciation Rights (SARs).</w:t>
      </w:r>
      <w:r>
        <w:rPr>
          <w:rFonts w:ascii="Times New Roman;Times;serif" w:hAnsi="Times New Roman;Times;serif"/>
          <w:b w:val="false"/>
          <w:i w:val="false"/>
          <w:caps w:val="false"/>
          <w:smallCaps w:val="false"/>
          <w:color w:val="000000"/>
          <w:spacing w:val="4"/>
          <w:sz w:val="20"/>
        </w:rPr>
        <w:t xml:space="preserve">   A participant who is awarded a SAR receives, upon exercise, a number of shares of Common Stock, or cash (or a combination of shares of Common Stock and cash) determined by reference to appreciation, from and after the date of grant, in the fair market value of a share of Common Stock over the measurement price. The New Eagle Equity Plan provides that the measurement price of a SAR may not be less than 100% of the fair market value of Common Stock on the date the SAR is granted (provided, however, that if the Board approves the grant of a SAR effective as of a future date, the measurement price shall not be less than 100% of the fair market value on such future date) and that SARs may not be granted with a term in excess of 10 years. No SARs granted under the New Eagle Equity Plan may contain a provision entitling the participant to the automatic grant of additional SARs in connection with any exercise of the original SAR. No SARs granted under the New Eagle Equity Plan may provide for the payment or accrual of dividend equivalents.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Limitation on Repricing of Options or SARs.</w:t>
      </w:r>
      <w:r>
        <w:rPr>
          <w:rFonts w:ascii="Times New Roman;Times;serif" w:hAnsi="Times New Roman;Times;serif"/>
          <w:b w:val="false"/>
          <w:i w:val="false"/>
          <w:caps w:val="false"/>
          <w:smallCaps w:val="false"/>
          <w:color w:val="000000"/>
          <w:spacing w:val="4"/>
          <w:sz w:val="20"/>
        </w:rPr>
        <w:t xml:space="preserve">   With respect to options and SARs, unless such action is approved by stockholders or otherwise permitted under the terms of the New Eagle Equity Plan in connection with certain changes in capitalization and reorganization events, New Eagle may not (i) amend any outstanding option or SAR granted under the New Eagle Equity Plan to provide an exercise price or measurement price per share that is lower than the then-current exercise price or measurement price per share of such outstanding option or SAR, (ii) cancel any outstanding option or SAR (whether or not granted under the New Eagle Equity Plan) and grant in substitution for the canceled award, new awards under the New Eagle Equity Plan (other than certain substitute awards issued in connection with a merger or consolidation of an entity with New Eagle or an acquisition by New Eagle described above) covering the same or a different number of shares of Common Stock and having an exercise price or measurement price per share lower than the then-current exercise price or measurement price per share of the cancelled option or SAR, (iii) cancel in exchange for a cash payment any outstanding option or SAR with an exercise price or measurement price per share above the then-current fair market value of Common Stock, or (iv) take any other action under the New Eagle Equity Plan that constitutes a “repricing” within the meaning of the rules of the Nasdaq Stock Market or any other exchange or marketplace on which New Eagle’s stock is listed or traded.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Awards.</w:t>
      </w:r>
      <w:r>
        <w:rPr>
          <w:rFonts w:ascii="Times New Roman;Times;serif" w:hAnsi="Times New Roman;Times;serif"/>
          <w:b w:val="false"/>
          <w:i w:val="false"/>
          <w:caps w:val="false"/>
          <w:smallCaps w:val="false"/>
          <w:color w:val="000000"/>
          <w:spacing w:val="4"/>
          <w:sz w:val="20"/>
        </w:rPr>
        <w:t xml:space="preserve">   A participant who is granted a restricted stock award is entitled to acquire shares of Common Stock, subject to New Eagle’s right to 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Any dividends (whether paid in cash, stock or property) declared and paid by New Eagle with respect to shares of restricted stock will be paid to the participant only if and when such shares become free from the restrictions on transferability and forfeitability that apply to such shares. No interest will be paid on unvested dividends.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Unit (RSU) Awards.</w:t>
      </w:r>
      <w:r>
        <w:rPr>
          <w:rFonts w:ascii="Times New Roman;Times;serif" w:hAnsi="Times New Roman;Times;serif"/>
          <w:b w:val="false"/>
          <w:i w:val="false"/>
          <w:caps w:val="false"/>
          <w:smallCaps w:val="false"/>
          <w:color w:val="000000"/>
          <w:spacing w:val="4"/>
          <w:sz w:val="20"/>
        </w:rPr>
        <w:t xml:space="preserve">   A participant who is granted an RSU award is entitled to receive shares of Common Stock, or cash equal to the fair market value of such shares or a combination thereof, to be delivered at the time the award vests or on a deferred basis pursuant to the terms and conditions established by the Board. The Board may provide that the settlement of RSUs will be deferred, on a mandatory basis or at the election of the participant, in a manner that complies with Section 409A of the Code. A participant has no voting rights with respect to any RSU. An RSU award agreement may provide the applicable participant with the right to receive an amount equal to any dividends or other distributions declared and paid on an equal number of outstanding shares of Common Stock. Any such dividend equivalent may be settled in cash and/or shares of Common Stock and will be subject to the same restrictions on transfer and forfeitability as the RSUs with respect to which such dividend equivalents are awarded. No interest will be paid on dividend equivalents.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Stock-Based Awards.</w:t>
      </w:r>
      <w:r>
        <w:rPr>
          <w:rFonts w:ascii="Times New Roman;Times;serif" w:hAnsi="Times New Roman;Times;serif"/>
          <w:b w:val="false"/>
          <w:i w:val="false"/>
          <w:caps w:val="false"/>
          <w:smallCaps w:val="false"/>
          <w:color w:val="000000"/>
          <w:spacing w:val="4"/>
          <w:sz w:val="20"/>
        </w:rPr>
        <w:t xml:space="preserve">   Under the New Eagle Equity Plan, the Board may grant other awards of shares of Common Stock, and other awards that are valued in whole or in part by reference to, or are otherwise based on, shares of Common Stock or other property, having such terms and conditions as the Board may determine. These types of awards are referred to in this prospectus as “other stock-based awards.” Other stock-based awards may be available as a form of payment in settlement of other awards granted under the New Eagle Equity Plan or as payment in lieu of compensation to which a participant is otherwise entitled. Other stock-based awards may be paid in shares of Common Stock or in cash, as the Board may determine. The award agreement of another stock-based award may provide the participant who receives the other stock-based award with the right to receive dividend equivalents. Dividend equivalents may be settled in cash and/or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Common Stock and will be subject to the same restrictions on transfer and forfeitability as the other stock-based award with respect to which they are awarded. No interest will be paid on dividend equivalents.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Performance — Compensation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designate any award as performance-based, in which case the award will vest based on achievement of performance goals. The Committee will select the length of the performance period, the performance criteria that will be used to establish the performance goals, the kinds and/or levels of the performance goals that are to apply, and the performance formula. Such performance criteria may be based on the attainment of specific levels of performance of New Eagle and/or one or more of its affiliates, divisions, business segments or operational units, or any combination of the foregoing (including as compared to a selected group of comparison or peer companies, or a published or special index or stock market index), and may include net earnings or net income (before or after taxes), basic or diluted earnings per share (before or after taxes), revenue or revenue growth (measured on a net or gross basis), gross profit or gross profit growth, operating profit (before or after taxes), return measures, cash flow, financing and other capital raising transactions, earnings before or after taxes, interest, depreciation and/or amortization, gross or operating margins, productivity ratios, share price, expense targets, margins, productivity and operating efficiencies, customer satisfaction, customer growth, working capital targets, measures of economic value added, inventory control, enterprise value, sales, debt levels and net debt, combined ratio, timely launch of new facilities, client retention, employee retention, timely completion of new product rollouts, cost targets, reductions and savings, productivity and efficiencies, strategic partnerships or transactions, and personal targets, goals or completion of projects. The Committee may accelerate vesting awards based on the achievement of performance goals. Performance criteria that are financial metrics may be determined in accordance with GAAP, but may be adjusted by the Committee to include or exclude items otherwise includable or excludable under GAAP. The Committee may also adjust or modify performance goals for a performance period to appropriately reflect certain extraordinary events.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Committee specifies otherwise in the award agreement, a participant must be employed on the last day of the performance period to be eligible for payment in respect of a performance compensation award. Payment in respect of a performance compensation award will only be made to the extent that the Committee determines after the close of the performance period that the performance goals have been achieved at a level that triggers vesting or payment.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Eligibility to Receive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30, 2025, and assuming the Closing of the Transaction, approximately 14 persons would have been eligible to receive awards under the New Eagle Equity Plan, including 3 of New Eagle’s named executive officers (the “NEOs”) and 11 consultants, advisors and other service providers. Incentive stock options may only be granted to employees of New Eagle or of a present or future parent or subsidiary corporation as defined in Sections 424(e) or (f) of the Code, and employees of any other entities the employees of which are eligible to receive incentive stock options under the Code.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Transferability of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and incentive stock options, the Board may permit or provide in an award for the gratuitous transfer of the award by the participant to or for the benefit of any immediate family member, family trust or other entity established for the benefit of the participant and/or an immediate family member of the participant if New Eagle would be eligible to use a Form S-8 under the Securities Act of 1933, as amended for the registration of the sale of the Common Stock subject to such award to the proposed transferee. Further, New Eagle is not required to recognize any such permitted transfer until such time as the permitted transferee has, as a condition to the transfer, delivered to New Eagle a written instrument in form and substance satisfactory to New Eagle confirming that such transferee will be bound by all of the terms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of the award. None of the restrictions described in this paragraph prohibit a transfer from the participant to New Eagle.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Rights as a Stockholder; Clawback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participant or designated beneficiary shall have any rights as a stockholder with respect to any shares of Common Stock to be distributed with respect to an award granted under the New Eagle Equity Plan until becoming a record holder of such shares, subject to the terms of an award agreement. In accepting an award under the New Eagle Equity Plan, a participant agrees to be bound by any clawback policy that New Eagle has in effect or may adopt in the future.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New Plan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awards have been previously granted under the New Eagle Equity Plan as of the date hereof and no awards have been granted under the New Eagle Equity Plan subject to stockholder approval of the New Eagle Equity Plan.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Administration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Eagle Equity Plan will be administered by New Eagle’s Compensation Committee (the “Committee”), or in the absence of the Committee, the Board. The Committee has the authority to grant awards and to adopt, amend and repeal the administrative rules, guidelines and practices relating to the New Eagle Equity Plan that it deems advisable and to construe and interpret the provisions of the New Eagle Equity Plan and any award agreements entered into under the New Eagle Equity Plan. The Committee may correct any defect, supply any omission or reconcile any inconsistency in the New Eagle Equity Plan or any award. All actions and decisions by the Committee with respect to the New Eagle Equity Plan and any awards made under the New Eagle Equity Plan will be made in the Committee’s discretion and will be final and binding on all persons having or claiming any interest in the New Eagle Equity Plan or in any award.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New Eagle Equity Plan, the Board and Committee may delegate any or all of its powers under the New Eagle Equity Plan to one or more committees or subcommittees of the Board. New Eagle expects that the Compensation Committee will administer certain aspects of the New Eagle Equity Plan.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any requirements of applicable law, the Committee may, by resolution, delegate to one or more persons (including officers) or bodies (such persons or bodies, the “Delegated Persons”) the power to grant awards (subject to any limitations under the New Eagle Equity Plan) to eligible service providers of New Eagle and to exercise such other powers under the New Eagle Equity Plan as the Committee may determine. In delegating the power to grant awards, the Committee must fix (i) the maximum number of awards, and the maximum number of shares issuable upon exercise of those awards, that may be issued by such Delegated Persons, (ii) the time period during which those awards, and during which the shares issuable upon exercise of those awards, may be issued, and (iii) the minimum amount of consideration (if any) for which those awards may be issued, and a minimum amount of consideration for the shares issuable upon exercise of those awards. No Delegated Person may be authorized to grant awards to itself or to any “executive officer” ​(as defined by Rule 3b-7 under the Exchange Act), or to any “officer” ​(as defined by Rule 16a-1(f) under the Exchange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limitations contained in the New Eagle Equity Plan, the Board, the Compensation Committee, or any other committee or subcommittee or Delegated Person to whom the Committee has delegated authority pursuant to the New Eagle Equity Plan, as the case may be, selects the recipients of awards and determines (i) the number of shares of Common Stock, cash or other consideration covered by awards and the terms and conditions of such awards, including the dates upon which such awards become exercisable or otherwise vest, (ii) the exercise or measurement price of awards, if any, and (iii) the duration of awards.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New Eagle Equity Plan, each award under the New Eagle Equity Plan may be made alone or in addition or in relation to any other award. The terms of each award need not be identical, and the Committee need not treat participants uniformly. The Committee will determine the effect on an award of the disability, death, termination or other cessation of employment or service, authorized leave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at any time provide that any award will become immediately exercisable in whole or in part, free from some or all restrictions or conditions or otherwise realizable in whole or in part, as the case may be.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will indemnify and hold harmless each director, officer, employee or agent to whom any duty or power relating to the administration or interpretation of the New Eagle Equity Plan has been or will be delegated against any cost or expense (including attorneys’ fees) or liability (including any sum paid in settlement of a claim with the Board’s approval) arising out of any act or omission to act concerning the New Eagle Equity Plan unless arising out of such person’s own fraud or bad faith.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Awards.</w:t>
      </w:r>
      <w:r>
        <w:rPr>
          <w:rFonts w:ascii="Times New Roman;Times;serif" w:hAnsi="Times New Roman;Times;serif"/>
          <w:b w:val="false"/>
          <w:i w:val="false"/>
          <w:caps w:val="false"/>
          <w:smallCaps w:val="false"/>
          <w:color w:val="000000"/>
          <w:spacing w:val="4"/>
          <w:sz w:val="20"/>
        </w:rPr>
        <w:t xml:space="preserve">   Except as otherwise provided under the New Eagle Equity Plan with respect to repricing outstanding stock options or SARs and with respect to actions requiring stockholder approval, the Committee may amend, modify or terminate any outstanding award, including but not limited to, substituting for an award another award of the same or a different type, changing the date of exercise or realization, and converting an incentive stock option to a nonstatutory stock option, provided that the participant’s consent to any such action will be required unless the Committee determines that the action, taking into account any related action, does not materially and adversely affect the participant’s rights under the New Eagle Equity Plan or the change is otherwise permitted under the terms of the New Eagle Equity Plan in connection with certain corporate events.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Capital Structure and Similar Events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Split, Stock Dividend and Similar Events.</w:t>
      </w:r>
      <w:r>
        <w:rPr>
          <w:rFonts w:ascii="Times New Roman;Times;serif" w:hAnsi="Times New Roman;Times;serif"/>
          <w:b w:val="false"/>
          <w:i w:val="false"/>
          <w:caps w:val="false"/>
          <w:smallCaps w:val="false"/>
          <w:color w:val="000000"/>
          <w:spacing w:val="4"/>
          <w:sz w:val="20"/>
        </w:rPr>
        <w:t xml:space="preserve">   In the event of (a) any dividend (other than ordinary cash dividends) or other distribution (whether in the form of cash, shares, other securities or other property), recapitalization, stock split, reverse stock split, reorganization, merger, amalgamation, consolidation, spin-off, split-up, split-off, combination, repurchase or exchange of shares of Common Stock or other securities of New Eagle, issuance of warrants or other rights to acquire shares of Common Stock or other securities of New Eagle, or other similar corporate transaction or event (including, without limitation, a “change in control” as defined in the New Eagle Equity Plan) that affects the shares of Common Stock, or (b) unusual or infrequently occurring events affecting New Eagle or any of its affiliates, or their financial statements, or changes in applicable rules, rulings, regulations or other requirements of any governmental body or securities exchange or inter-dealer quotation system, accounting principles or law, to the extent that an adjustment is determined by the Committee to be necessary or appropriate to prevent the dilution or enlargement of the benefits or potential benefits intended to be made available under the New Eagle Equity Plan, then the Committee must equitably adjust the number of shares of Common Stock or other securities of New Eagle (or number and kind of other securities or other property) that may be delivered in respect of awards or with respect to which awards may be granted and the terms of any outstanding award, including, without limitation, the number of shares subject to such award, the exercise price or strike price, or the applicable performance measures; (ii) providing for a substitution or assumption of awards in a manner that substantially preserves the applicable terms of such awards; (iii) accelerating the exercisability or vesting of, lapse of restrictions on, or termination of, awards or providing for a period of time for exercise prior to the occurrence of such event; (iv) modifying the terms of awards to add events, conditions or circumstances (including termination of employment within a specified period after a “change in control”) upon which the exercisability or vesting of or lapse of restrictions thereon will accelerate; (v) deeming any performance measures satisfied at target, maximum or actual performance through closing or such other level determined by the Committee, or providing for the performance measures to continue (as is or as adjusted by the Committee) after closing; (vi) providing that for a period prior to the “change in control” any unvested options or SARs will be vested and exercisable (contingent upon the occurrence of the change in control) and that any options or SARs not exercised prior to the consummation of the change in control will terminate as of the change in control; and (vii) canceling outstanding awards in return for cash, shares of Common Stock, other securities or other property, or any combination thereof, equal to the value of such awards, if any, as determined by the Committee (with any underwater option or SAR canceled and terminated without any payment or consideration therefor); provided, however, that in the case of any “equity restructuring” ​(within the meaning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Financial Accounting Standards Board Accounting Standards Codification Topic 718), the Committee shall make an equitable or proportionate adjustment to outstanding awards to reflect such equity restructuring.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Provisions for Foreign Participants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establish one or more sub-plans under the New Eagle Equity Plan to satisfy applicable securities, tax or other laws of various jurisdictions. The Committee will establish such sub-plans by adopting supplements to the New Eagle Equity Plan containing any limitations on the Committee’s discretion under the New Eagle Equity Plan and any additional terms and conditions not otherwise inconsistent with the New Eagle Equity Plan as the Committee deems necessary or desirable. All supplements adopted by the Committee will be deemed to be part of the New Eagle Equity Plan, but each supplement will only apply to participants within the affected jurisdiction.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participant must satisfy all applicable federal, state, and local or other income and employment tax withholding obligations before New Eagle will deliver stock certificates or otherwise recognize ownership of Common Stock under an award. New Eagle may elect to satisfy the withholding obligations through additional withholding on salary or wages. If New Eagle elects not to or cannot withhold from other compensation, the participant must pay New Eagle the full amount, if any, required for withholding or have a broker tender to New Eagle cash equal to the withholding obligations. Payment of withholding obligations is due before New Eagle will issue any shares on exercise, vesting or release from forfeiture of an award or at the same time as payment of the exercise or purchase price, unless New Eagle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However, except as otherwise provided by the Committee, the total tax withholding where stock is being used to satisfy such tax obligations cannot exceed New Eagle’s minimum statutory withholding obligations (based on minimum statutory withholding rates for federal and state tax purposes, including payroll taxes, that are applicable to such supplemental taxable income), except that, to the extent that New Eagle is able to retain shares of Common Stock having a fair market value that exceeds the statutory minimum applicable withholding tax without financial accounting implications or New Eagle is withholding in a jurisdiction that does not have a statutory minimum withholding tax, New Eagle may retain such number of shares (up to the number of shares having a fair market value equal to the maximum individual statutory rate of tax) as New Eagle shall determine to be necessary to satisfy the tax liability associated with any award. Shares used to satisfy tax withholding requirements cannot be subject to any repurchase, forfeiture, unfulfilled vesting or other similar requirements.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or Termination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and Termination of the Plan</w:t>
      </w:r>
      <w:r>
        <w:rPr>
          <w:rFonts w:ascii="Times New Roman;Times;serif" w:hAnsi="Times New Roman;Times;serif"/>
          <w:b w:val="false"/>
          <w:i w:val="false"/>
          <w:caps w:val="false"/>
          <w:smallCaps w:val="false"/>
          <w:color w:val="000000"/>
          <w:spacing w:val="4"/>
          <w:sz w:val="20"/>
        </w:rPr>
        <w:t xml:space="preserve">.   The Board may amend, alter, suspend, discontinue, or terminate the Plan or any portion thereof at any time; provided that (i) no amendment to Section 13(b) (to the extent required by the proviso in such Section 13(b)) shall be made without shareholder approval and (ii) no such amendment, alteration, suspension, discontinuation or termination shall be made without shareholder approval if such approval is necessary to comply with any tax or regulatory requirement applicable to the New Eagle Equity Plan (including, without limitation, as necessary to comply with any rules or requirements of any securities exchange or inter-dealer quotation system on which the Common Stock may be listed or quoted); provided, further,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Award Agreements</w:t>
      </w:r>
      <w:r>
        <w:rPr>
          <w:rFonts w:ascii="Times New Roman;Times;serif" w:hAnsi="Times New Roman;Times;serif"/>
          <w:b w:val="false"/>
          <w:i w:val="false"/>
          <w:caps w:val="false"/>
          <w:smallCaps w:val="false"/>
          <w:color w:val="000000"/>
          <w:spacing w:val="4"/>
          <w:sz w:val="20"/>
        </w:rPr>
        <w:t xml:space="preserve">.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shall not to that extent be effective without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consent of the affected participant; provided, further, that without shareholder approval, except as otherwise permitted under the New Eagle Equity Plan, (i) no amendment or modification may reduce the exercise price of any option or the strike price of any SAR, (ii) the Committee may not cancel any outstanding option or SAR where the fair market value of the Common Stock underlying such option or SAR is less than its exercise price and replace it with a new option or SAR, another award or cash and (iii) the Committee may not take any other action that is considered a “repricing” for purposes of the shareholder approval rules of the applicable securities exchange or inter-dealer quotation system on which the Common Stock are listed or quoted.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United States federal income tax consequences that generally will arise with respect to awards granted under the New Eagle Equity Plan. This summary is based on the federal tax laws in effect as of the date of this prospectus. In addition, this summary assumes that all awards are exempt from, or comply with, the rules under Section 409A of the Code regarding nonqualified deferred compensation. Changes to these laws could alter the tax consequences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Incentive Stock Options.</w:t>
      </w:r>
      <w:r>
        <w:rPr>
          <w:rFonts w:ascii="Times New Roman;Times;serif" w:hAnsi="Times New Roman;Times;serif"/>
          <w:b w:val="false"/>
          <w:i w:val="false"/>
          <w:caps w:val="false"/>
          <w:smallCaps w:val="false"/>
          <w:color w:val="000000"/>
          <w:spacing w:val="4"/>
          <w:sz w:val="20"/>
        </w:rPr>
        <w:t xml:space="preserve">   A participant will not have income upon the grant of an incentive stock option. Also, except as described below, a participant will not have income upon exercise of an incentive stock option if the participant has been employed by New Eagle or its corporate parent or 50% or majority-owned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 </w:t>
      </w:r>
    </w:p>
    <w:p>
      <w:pPr>
        <w:pStyle w:val="TextBody"/>
        <w:bidi w:val="0"/>
        <w:spacing w:lineRule="atLeast" w:line="230" w:before="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 </w:t>
      </w:r>
    </w:p>
    <w:p>
      <w:pPr>
        <w:pStyle w:val="TextBody"/>
        <w:bidi w:val="0"/>
        <w:spacing w:lineRule="atLeast" w:line="230" w:before="8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Nonstatutory Stock Options.</w:t>
      </w:r>
      <w:r>
        <w:rPr>
          <w:rFonts w:ascii="Times New Roman;Times;serif" w:hAnsi="Times New Roman;Times;serif"/>
          <w:b w:val="false"/>
          <w:i w:val="false"/>
          <w:caps w:val="false"/>
          <w:smallCaps w:val="false"/>
          <w:color w:val="000000"/>
          <w:spacing w:val="4"/>
          <w:sz w:val="20"/>
        </w:rPr>
        <w:t xml:space="preserve">   A participant will not have income upon the grant of a nonstatutory stock option. A participant will have 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 </w:t>
      </w:r>
    </w:p>
    <w:p>
      <w:pPr>
        <w:pStyle w:val="TextBody"/>
        <w:bidi w:val="0"/>
        <w:spacing w:lineRule="atLeast" w:line="230" w:before="8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Appreciation Rights.</w:t>
      </w:r>
      <w:r>
        <w:rPr>
          <w:rFonts w:ascii="Times New Roman;Times;serif" w:hAnsi="Times New Roman;Times;serif"/>
          <w:b w:val="false"/>
          <w:i w:val="false"/>
          <w:caps w:val="false"/>
          <w:smallCaps w:val="false"/>
          <w:color w:val="000000"/>
          <w:spacing w:val="4"/>
          <w:sz w:val="20"/>
        </w:rPr>
        <w:t xml:space="preserve">   A participant will not have income upon the grant of a SAR. A participant generally will recognize compensation income upon 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 </w:t>
      </w:r>
    </w:p>
    <w:p>
      <w:pPr>
        <w:pStyle w:val="TextBody"/>
        <w:bidi w:val="0"/>
        <w:spacing w:lineRule="atLeast" w:line="230" w:before="8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Awards.</w:t>
      </w:r>
      <w:r>
        <w:rPr>
          <w:rFonts w:ascii="Times New Roman;Times;serif" w:hAnsi="Times New Roman;Times;serif"/>
          <w:b w:val="false"/>
          <w:i w:val="false"/>
          <w:caps w:val="false"/>
          <w:smallCaps w:val="false"/>
          <w:color w:val="000000"/>
          <w:spacing w:val="4"/>
          <w:sz w:val="20"/>
        </w:rPr>
        <w:t xml:space="preserve">   A participant will not have income upon the grant of restricted stock unless an election under Section 83(b) of the Code is made 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Units.</w:t>
      </w:r>
      <w:r>
        <w:rPr>
          <w:rFonts w:ascii="Times New Roman;Times;serif" w:hAnsi="Times New Roman;Times;serif"/>
          <w:b w:val="false"/>
          <w:i w:val="false"/>
          <w:caps w:val="false"/>
          <w:smallCaps w:val="false"/>
          <w:color w:val="000000"/>
          <w:spacing w:val="4"/>
          <w:sz w:val="20"/>
        </w:rPr>
        <w:t xml:space="preserve">   A participant will not have income upon the grant of an RSU. A participant is not permitted to make a Section 83(b) election with respect to an RSU award. When the shares of Common Stock are delivered with respect to the RSUs (which may be upon vesting or may be at a later date), the participant will have income 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 </w:t>
      </w:r>
    </w:p>
    <w:p>
      <w:pPr>
        <w:pStyle w:val="TextBody"/>
        <w:bidi w:val="0"/>
        <w:spacing w:lineRule="atLeast" w:line="240" w:before="8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Stock-Based Awards.</w:t>
      </w:r>
      <w:r>
        <w:rPr>
          <w:rFonts w:ascii="Times New Roman;Times;serif" w:hAnsi="Times New Roman;Times;serif"/>
          <w:b w:val="false"/>
          <w:i w:val="false"/>
          <w:caps w:val="false"/>
          <w:smallCaps w:val="false"/>
          <w:color w:val="000000"/>
          <w:spacing w:val="4"/>
          <w:sz w:val="20"/>
        </w:rPr>
        <w:t xml:space="preserve">   The tax consequences associated with any other stock-based award granted under the New Eagle Equity 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 </w:t>
      </w:r>
    </w:p>
    <w:p>
      <w:pPr>
        <w:pStyle w:val="TextBody"/>
        <w:bidi w:val="0"/>
        <w:spacing w:lineRule="atLeast" w:line="240" w:before="8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Consequences to New Eagle.</w:t>
      </w:r>
      <w:r>
        <w:rPr>
          <w:rFonts w:ascii="Times New Roman;Times;serif" w:hAnsi="Times New Roman;Times;serif"/>
          <w:b w:val="false"/>
          <w:i w:val="false"/>
          <w:caps w:val="false"/>
          <w:smallCaps w:val="false"/>
          <w:color w:val="000000"/>
          <w:spacing w:val="4"/>
          <w:sz w:val="20"/>
        </w:rPr>
        <w:t xml:space="preserve">   There will be no tax consequences to New Eagle except that New Eagle will be entitled to a deduction when a participant has compensation income, subject to the limitations of Section 162(m) of the Code.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Plan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benefits or amounts that may be received or allocated to participants under the New Eagle Equity Plan will be determined at the discretion of the plan administrator and are not currently determinable.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S-8</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permitted by SEC rules, we intend to file with the SEC a registration statement on Form S-8 covering the Common Stock issuable under the New Eagle Equity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PRST"/>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beneficial ownership of shares of our Common Stock upon the completion of the Business Combination by: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known by us to be the beneficial owner of more than 5% of our Common Stock; </w:t>
      </w:r>
      <w:r>
        <mc:AlternateContent>
          <mc:Choice Requires="wps">
            <w:drawing>
              <wp:anchor behindDoc="0" distT="6985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6"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named executive officers and directors; and </w:t>
      </w:r>
      <w:r>
        <mc:AlternateContent>
          <mc:Choice Requires="wps">
            <w:drawing>
              <wp:anchor behindDoc="0" distT="6985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7"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officers and directors as a group. </w:t>
      </w:r>
      <w:r>
        <mc:AlternateContent>
          <mc:Choice Requires="wps">
            <w:drawing>
              <wp:anchor behindDoc="0" distT="6985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8"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of Common Stock beneficially owned by a person and the percentage ownership, the we deemed outstanding shares of Common Stock subject to warrants held by that person that are currently exercisable or exercisable within 60 days of April 22, 2026. We did not deem these shares outstanding, however, for the purpose of computing the percentage ownership of any other person.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table below, percentage ownership is based on 29,579,313 shares of Common Stock outstanding as of April 22, 2026, which gives effect to the redemption of the Public Shares described above, the separation of the former SVII Units, the issuance of the shares in exchange for the SVII Rights, the issuance of Aggregate Merger Consideration shares and the issuance of 300,000 shares of Common Stock to the SVII Vendor. This table also assumes that there are no issuances of equity awards that may be issued under the New Eagle Equity Plan following the Business Combination.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we believe that all persons named in the table have sole voting and investment power with respect to all shares of Common Stock beneficially owned by them. Unless otherwise noted, the business address of each of the following entities or individuals is c/o Eagle Nuclear Energy. Corp. 5470 Kietzke Lane, Suite 300, Reno, NV 89511. </w:t>
      </w:r>
    </w:p>
    <w:tbl>
      <w:tblPr>
        <w:tblW w:w="8812" w:type="dxa"/>
        <w:jc w:val="left"/>
        <w:tblInd w:w="1393" w:type="dxa"/>
        <w:tblLayout w:type="fixed"/>
        <w:tblCellMar>
          <w:top w:w="0" w:type="dxa"/>
          <w:left w:w="0" w:type="dxa"/>
          <w:bottom w:w="43" w:type="dxa"/>
          <w:right w:w="0" w:type="dxa"/>
        </w:tblCellMar>
      </w:tblPr>
      <w:tblGrid>
        <w:gridCol w:w="5232"/>
        <w:gridCol w:w="109"/>
        <w:gridCol w:w="109"/>
        <w:gridCol w:w="109"/>
        <w:gridCol w:w="109"/>
        <w:gridCol w:w="1257"/>
        <w:gridCol w:w="109"/>
        <w:gridCol w:w="109"/>
        <w:gridCol w:w="109"/>
        <w:gridCol w:w="178"/>
        <w:gridCol w:w="178"/>
        <w:gridCol w:w="866"/>
        <w:gridCol w:w="181"/>
        <w:gridCol w:w="157"/>
      </w:tblGrid>
      <w:tr>
        <w:trPr/>
        <w:tc>
          <w:tcPr>
            <w:tcW w:w="5232"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4"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Shares</w:t>
            </w:r>
            <w:r>
              <w:rPr/>
              <w:t xml:space="preserve"> </w:t>
              <w:br/>
            </w:r>
            <w:r>
              <w:rPr>
                <w:spacing w:val="-3"/>
              </w:rPr>
              <w:t>Beneficially</w:t>
            </w:r>
            <w:r>
              <w:rPr/>
              <w:t xml:space="preserve"> </w:t>
              <w:br/>
            </w:r>
            <w:r>
              <w:rPr>
                <w:spacing w:val="-3"/>
              </w:rP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3" w:type="dxa"/>
            <w:gridSpan w:val="4"/>
            <w:tcBorders>
              <w:bottom w:val="single" w:sz="2" w:space="0" w:color="000000"/>
            </w:tcBorders>
            <w:vAlign w:val="center"/>
          </w:tcPr>
          <w:p>
            <w:pPr>
              <w:pStyle w:val="TableContents"/>
              <w:bidi w:val="0"/>
              <w:spacing w:before="0" w:after="0"/>
              <w:jc w:val="center"/>
              <w:rPr/>
            </w:pPr>
            <w:r>
              <w:rPr>
                <w:spacing w:val="-3"/>
              </w:rPr>
              <w:t>Approximate</w:t>
            </w:r>
            <w:r>
              <w:rPr/>
              <w:t xml:space="preserve"> </w:t>
              <w:br/>
            </w:r>
            <w:r>
              <w:rPr>
                <w:spacing w:val="-3"/>
              </w:rPr>
              <w:t>Percentage of</w:t>
            </w:r>
            <w:r>
              <w:rPr/>
              <w:t xml:space="preserve"> </w:t>
              <w:br/>
            </w:r>
            <w:r>
              <w:rPr>
                <w:spacing w:val="-3"/>
              </w:rPr>
              <w:t xml:space="preserve">Outstanding </w:t>
            </w:r>
            <w:r>
              <w:rPr/>
              <w:br/>
            </w:r>
            <w:r>
              <w:rPr>
                <w:spacing w:val="-3"/>
              </w:rPr>
              <w:t>Shares of</w:t>
            </w:r>
            <w:r>
              <w:rPr/>
              <w:t xml:space="preserve"> </w:t>
              <w:br/>
            </w:r>
            <w:r>
              <w:rPr>
                <w:spacing w:val="-3"/>
              </w:rPr>
              <w:t>Common</w:t>
            </w:r>
            <w:r>
              <w:rPr/>
              <w:t xml:space="preserve"> </w:t>
              <w:br/>
            </w:r>
            <w:r>
              <w:rPr>
                <w:spacing w:val="-3"/>
              </w:rPr>
              <w:t xml:space="preserve">Stock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232"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2" w:type="dxa"/>
            <w:tcBorders/>
            <w:tcMar>
              <w:bottom w:w="0" w:type="dxa"/>
            </w:tcMar>
            <w:vAlign w:val="center"/>
          </w:tcPr>
          <w:p>
            <w:pPr>
              <w:pStyle w:val="TableContents"/>
              <w:bidi w:val="0"/>
              <w:spacing w:before="0" w:after="0"/>
              <w:jc w:val="left"/>
              <w:rPr>
                <w:spacing w:val="4"/>
              </w:rPr>
            </w:pPr>
            <w:r>
              <w:rPr>
                <w:spacing w:val="4"/>
              </w:rPr>
              <w:t xml:space="preserve">Mark Mukhija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7" w:type="dxa"/>
            <w:tcBorders/>
            <w:tcMar>
              <w:bottom w:w="0" w:type="dxa"/>
            </w:tcMar>
            <w:vAlign w:val="center"/>
          </w:tcPr>
          <w:p>
            <w:pPr>
              <w:pStyle w:val="TableContents"/>
              <w:bidi w:val="0"/>
              <w:spacing w:before="0" w:after="283"/>
              <w:jc w:val="right"/>
              <w:rPr/>
            </w:pPr>
            <w:r>
              <w:rPr/>
              <w:t>314,793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1.1%</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2" w:type="dxa"/>
            <w:tcBorders/>
            <w:shd w:fill="CCEEFF" w:val="clear"/>
            <w:tcMar>
              <w:bottom w:w="0" w:type="dxa"/>
            </w:tcMar>
            <w:vAlign w:val="center"/>
          </w:tcPr>
          <w:p>
            <w:pPr>
              <w:pStyle w:val="TableContents"/>
              <w:bidi w:val="0"/>
              <w:spacing w:before="0" w:after="0"/>
              <w:jc w:val="left"/>
              <w:rPr>
                <w:spacing w:val="4"/>
              </w:rPr>
            </w:pPr>
            <w:r>
              <w:rPr>
                <w:spacing w:val="4"/>
              </w:rPr>
              <w:t xml:space="preserve">Ajaypreet Toor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2" w:type="dxa"/>
            <w:tcBorders/>
            <w:tcMar>
              <w:bottom w:w="0" w:type="dxa"/>
            </w:tcMar>
            <w:vAlign w:val="center"/>
          </w:tcPr>
          <w:p>
            <w:pPr>
              <w:pStyle w:val="TableContents"/>
              <w:bidi w:val="0"/>
              <w:spacing w:before="0" w:after="0"/>
              <w:jc w:val="left"/>
              <w:rPr>
                <w:spacing w:val="4"/>
              </w:rPr>
            </w:pPr>
            <w:r>
              <w:rPr>
                <w:spacing w:val="4"/>
              </w:rPr>
              <w:t xml:space="preserve">Robert Kaplan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2" w:type="dxa"/>
            <w:tcBorders/>
            <w:shd w:fill="CCEEFF" w:val="clear"/>
            <w:tcMar>
              <w:bottom w:w="0" w:type="dxa"/>
            </w:tcMar>
            <w:vAlign w:val="center"/>
          </w:tcPr>
          <w:p>
            <w:pPr>
              <w:pStyle w:val="TableContents"/>
              <w:bidi w:val="0"/>
              <w:spacing w:before="0" w:after="0"/>
              <w:jc w:val="left"/>
              <w:rPr>
                <w:spacing w:val="4"/>
              </w:rPr>
            </w:pPr>
            <w:r>
              <w:rPr>
                <w:spacing w:val="4"/>
              </w:rPr>
              <w:t xml:space="preserve">Michael Kobler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2" w:type="dxa"/>
            <w:tcBorders/>
            <w:tcMar>
              <w:bottom w:w="0" w:type="dxa"/>
            </w:tcMar>
            <w:vAlign w:val="center"/>
          </w:tcPr>
          <w:p>
            <w:pPr>
              <w:pStyle w:val="TableContents"/>
              <w:bidi w:val="0"/>
              <w:spacing w:before="0" w:after="0"/>
              <w:jc w:val="left"/>
              <w:rPr>
                <w:spacing w:val="4"/>
              </w:rPr>
            </w:pPr>
            <w:r>
              <w:rPr>
                <w:spacing w:val="4"/>
              </w:rPr>
              <w:t xml:space="preserve">Brian Goldmeier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2" w:type="dxa"/>
            <w:tcBorders/>
            <w:shd w:fill="CCEEFF" w:val="clear"/>
            <w:tcMar>
              <w:bottom w:w="0" w:type="dxa"/>
            </w:tcMar>
            <w:vAlign w:val="center"/>
          </w:tcPr>
          <w:p>
            <w:pPr>
              <w:pStyle w:val="TableContents"/>
              <w:bidi w:val="0"/>
              <w:spacing w:before="0" w:after="0"/>
              <w:jc w:val="left"/>
              <w:rPr>
                <w:spacing w:val="4"/>
              </w:rPr>
            </w:pPr>
            <w:r>
              <w:rPr>
                <w:spacing w:val="4"/>
              </w:rPr>
              <w:t xml:space="preserve">Jeffrey Lipton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2" w:type="dxa"/>
            <w:tcBorders>
              <w:bottom w:val="single" w:sz="2" w:space="0" w:color="FFFFFF"/>
            </w:tcBorders>
            <w:tcMar>
              <w:bottom w:w="50" w:type="dxa"/>
            </w:tcMar>
            <w:vAlign w:val="center"/>
          </w:tcPr>
          <w:p>
            <w:pPr>
              <w:pStyle w:val="TableContents"/>
              <w:bidi w:val="0"/>
              <w:spacing w:lineRule="atLeast" w:line="142" w:before="0" w:after="0"/>
              <w:jc w:val="left"/>
              <w:rPr/>
            </w:pPr>
            <w:r>
              <w:rPr>
                <w:spacing w:val="4"/>
              </w:rPr>
              <w:t>Kuljit Basi</w:t>
            </w:r>
            <w:r>
              <w:rPr>
                <w:spacing w:val="3"/>
                <w:sz w:val="13"/>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257" w:type="dxa"/>
            <w:tcBorders>
              <w:bottom w:val="single" w:sz="2" w:space="0" w:color="000000"/>
            </w:tcBorders>
            <w:tcMar>
              <w:bottom w:w="50" w:type="dxa"/>
            </w:tcMar>
            <w:vAlign w:val="center"/>
          </w:tcPr>
          <w:p>
            <w:pPr>
              <w:pStyle w:val="TableContents"/>
              <w:bidi w:val="0"/>
              <w:spacing w:before="0" w:after="283"/>
              <w:jc w:val="right"/>
              <w:rPr/>
            </w:pPr>
            <w:r>
              <w:rPr/>
              <w:t>629,587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 w:type="dxa"/>
            <w:tcBorders>
              <w:bottom w:val="single" w:sz="2" w:space="0" w:color="FFFFFF"/>
            </w:tcBorders>
            <w:tcMar>
              <w:bottom w:w="28" w:type="dxa"/>
            </w:tcMar>
            <w:vAlign w:val="center"/>
          </w:tcPr>
          <w:p>
            <w:pPr>
              <w:pStyle w:val="TableContents"/>
              <w:bidi w:val="0"/>
              <w:spacing w:before="0" w:after="283"/>
              <w:jc w:val="left"/>
              <w:rPr/>
            </w:pPr>
            <w:r>
              <w:rPr/>
              <w:t>​</w:t>
            </w:r>
          </w:p>
        </w:tc>
        <w:tc>
          <w:tcPr>
            <w:tcW w:w="17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2.1%</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232" w:type="dxa"/>
            <w:tcBorders/>
            <w:shd w:fill="CCEEFF" w:val="clear"/>
            <w:tcMar>
              <w:bottom w:w="0" w:type="dxa"/>
            </w:tcMar>
            <w:vAlign w:val="center"/>
          </w:tcPr>
          <w:p>
            <w:pPr>
              <w:pStyle w:val="TableContents"/>
              <w:bidi w:val="0"/>
              <w:spacing w:before="0" w:after="0"/>
              <w:jc w:val="left"/>
              <w:rPr>
                <w:i/>
              </w:rPr>
            </w:pPr>
            <w:r>
              <w:rPr>
                <w:i/>
                <w:spacing w:val="4"/>
              </w:rPr>
              <w:t>All executive officers and directors as a group (7 individuals)</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57" w:type="dxa"/>
            <w:tcBorders>
              <w:bottom w:val="double" w:sz="8" w:space="0" w:color="000000"/>
            </w:tcBorders>
            <w:shd w:fill="CCEEFF" w:val="clear"/>
            <w:tcMar>
              <w:bottom w:w="50" w:type="dxa"/>
            </w:tcMar>
            <w:vAlign w:val="center"/>
          </w:tcPr>
          <w:p>
            <w:pPr>
              <w:pStyle w:val="TableContents"/>
              <w:bidi w:val="0"/>
              <w:spacing w:before="0" w:after="283"/>
              <w:jc w:val="right"/>
              <w:rPr/>
            </w:pPr>
            <w:r>
              <w:rPr/>
              <w:t>944,380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double" w:sz="8" w:space="0" w:color="000000"/>
            </w:tcBorders>
            <w:shd w:fill="CCEEFF" w:val="clear"/>
            <w:tcMar>
              <w:bottom w:w="50" w:type="dxa"/>
            </w:tcMar>
            <w:vAlign w:val="center"/>
          </w:tcPr>
          <w:p>
            <w:pPr>
              <w:pStyle w:val="TableContents"/>
              <w:bidi w:val="0"/>
              <w:spacing w:before="0" w:after="283"/>
              <w:jc w:val="right"/>
              <w:rPr/>
            </w:pPr>
            <w:r>
              <w:rPr/>
              <w:t>3.2%</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2" w:type="dxa"/>
            <w:tcBorders/>
            <w:tcMar>
              <w:bottom w:w="0" w:type="dxa"/>
            </w:tcMar>
            <w:vAlign w:val="center"/>
          </w:tcPr>
          <w:p>
            <w:pPr>
              <w:pStyle w:val="TableContents"/>
              <w:bidi w:val="0"/>
              <w:spacing w:before="0" w:after="283"/>
              <w:jc w:val="left"/>
              <w:rPr/>
            </w:pPr>
            <w:r>
              <w:rPr>
                <w:spacing w:val="-4"/>
              </w:rPr>
              <w:t>Five Percent 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2" w:type="dxa"/>
            <w:tcBorders/>
            <w:shd w:fill="CCEEFF" w:val="clear"/>
            <w:tcMar>
              <w:bottom w:w="0" w:type="dxa"/>
            </w:tcMar>
            <w:vAlign w:val="center"/>
          </w:tcPr>
          <w:p>
            <w:pPr>
              <w:pStyle w:val="TableContents"/>
              <w:bidi w:val="0"/>
              <w:spacing w:before="0" w:after="0"/>
              <w:jc w:val="left"/>
              <w:rPr/>
            </w:pPr>
            <w:r>
              <w:rPr>
                <w:spacing w:val="4"/>
              </w:rPr>
              <w:t>Blue Bird Capital Enterprises LLC</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7" w:type="dxa"/>
            <w:tcBorders/>
            <w:shd w:fill="CCEEFF" w:val="clear"/>
            <w:tcMar>
              <w:bottom w:w="0" w:type="dxa"/>
            </w:tcMar>
            <w:vAlign w:val="center"/>
          </w:tcPr>
          <w:p>
            <w:pPr>
              <w:pStyle w:val="TableContents"/>
              <w:bidi w:val="0"/>
              <w:spacing w:before="0" w:after="283"/>
              <w:jc w:val="right"/>
              <w:rPr/>
            </w:pPr>
            <w:r>
              <w:rPr/>
              <w:t>6,175,031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20.9%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2" w:type="dxa"/>
            <w:tcBorders/>
            <w:tcMar>
              <w:bottom w:w="0" w:type="dxa"/>
            </w:tcMar>
            <w:vAlign w:val="center"/>
          </w:tcPr>
          <w:p>
            <w:pPr>
              <w:pStyle w:val="TableContents"/>
              <w:bidi w:val="0"/>
              <w:spacing w:before="0" w:after="0"/>
              <w:jc w:val="left"/>
              <w:rPr/>
            </w:pPr>
            <w:r>
              <w:rPr>
                <w:spacing w:val="4"/>
              </w:rPr>
              <w:t>Alyeska Master Fund, L.P.</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7" w:type="dxa"/>
            <w:tcBorders/>
            <w:tcMar>
              <w:bottom w:w="0" w:type="dxa"/>
            </w:tcMar>
            <w:vAlign w:val="center"/>
          </w:tcPr>
          <w:p>
            <w:pPr>
              <w:pStyle w:val="TableContents"/>
              <w:bidi w:val="0"/>
              <w:spacing w:before="0" w:after="283"/>
              <w:jc w:val="right"/>
              <w:rPr/>
            </w:pPr>
            <w:r>
              <w:rPr/>
              <w:t>7,750,000</w:t>
            </w:r>
            <w:r>
              <w:rPr>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22.4%</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2" w:type="dxa"/>
            <w:tcBorders/>
            <w:shd w:fill="CCEEFF" w:val="clear"/>
            <w:tcMar>
              <w:bottom w:w="0" w:type="dxa"/>
            </w:tcMar>
            <w:vAlign w:val="center"/>
          </w:tcPr>
          <w:p>
            <w:pPr>
              <w:pStyle w:val="TableContents"/>
              <w:bidi w:val="0"/>
              <w:spacing w:before="0" w:after="0"/>
              <w:jc w:val="left"/>
              <w:rPr/>
            </w:pPr>
            <w:r>
              <w:rPr>
                <w:spacing w:val="4"/>
              </w:rPr>
              <w:t>Spring Valley Acquisition Sponsor II, LLC</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7" w:type="dxa"/>
            <w:tcBorders/>
            <w:shd w:fill="CCEEFF" w:val="clear"/>
            <w:tcMar>
              <w:bottom w:w="0" w:type="dxa"/>
            </w:tcMar>
            <w:vAlign w:val="center"/>
          </w:tcPr>
          <w:p>
            <w:pPr>
              <w:pStyle w:val="TableContents"/>
              <w:bidi w:val="0"/>
              <w:spacing w:before="0" w:after="283"/>
              <w:jc w:val="right"/>
              <w:rPr/>
            </w:pPr>
            <w:r>
              <w:rPr/>
              <w:t>2,898,773</w:t>
            </w:r>
            <w:r>
              <w:rPr>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9.8%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2" w:type="dxa"/>
            <w:tcBorders/>
            <w:tcMar>
              <w:bottom w:w="0" w:type="dxa"/>
            </w:tcMar>
            <w:vAlign w:val="center"/>
          </w:tcPr>
          <w:p>
            <w:pPr>
              <w:pStyle w:val="TableContents"/>
              <w:bidi w:val="0"/>
              <w:spacing w:before="0" w:after="0"/>
              <w:jc w:val="left"/>
              <w:rPr/>
            </w:pPr>
            <w:r>
              <w:rPr>
                <w:spacing w:val="4"/>
              </w:rPr>
              <w:t>Steven Parhar</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7" w:type="dxa"/>
            <w:tcBorders/>
            <w:tcMar>
              <w:bottom w:w="0" w:type="dxa"/>
            </w:tcMar>
            <w:vAlign w:val="center"/>
          </w:tcPr>
          <w:p>
            <w:pPr>
              <w:pStyle w:val="TableContents"/>
              <w:bidi w:val="0"/>
              <w:spacing w:before="0" w:after="283"/>
              <w:jc w:val="right"/>
              <w:rPr/>
            </w:pPr>
            <w:r>
              <w:rPr/>
              <w:t>2,109,118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7.1%</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2" w:type="dxa"/>
            <w:tcBorders/>
            <w:shd w:fill="CCEEFF" w:val="clear"/>
            <w:tcMar>
              <w:bottom w:w="0" w:type="dxa"/>
            </w:tcMar>
            <w:vAlign w:val="center"/>
          </w:tcPr>
          <w:p>
            <w:pPr>
              <w:pStyle w:val="TableContents"/>
              <w:bidi w:val="0"/>
              <w:spacing w:before="0" w:after="0"/>
              <w:jc w:val="left"/>
              <w:rPr/>
            </w:pPr>
            <w:r>
              <w:rPr>
                <w:spacing w:val="4"/>
              </w:rPr>
              <w:t>Balvinder Parhar</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7" w:type="dxa"/>
            <w:tcBorders/>
            <w:shd w:fill="CCEEFF" w:val="clear"/>
            <w:tcMar>
              <w:bottom w:w="0" w:type="dxa"/>
            </w:tcMar>
            <w:vAlign w:val="center"/>
          </w:tcPr>
          <w:p>
            <w:pPr>
              <w:pStyle w:val="TableContents"/>
              <w:bidi w:val="0"/>
              <w:spacing w:before="0" w:after="283"/>
              <w:jc w:val="right"/>
              <w:rPr/>
            </w:pPr>
            <w:r>
              <w:rPr/>
              <w:t>2,028,671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6.9%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2" w:type="dxa"/>
            <w:tcBorders/>
            <w:tcMar>
              <w:bottom w:w="0" w:type="dxa"/>
            </w:tcMar>
            <w:vAlign w:val="center"/>
          </w:tcPr>
          <w:p>
            <w:pPr>
              <w:pStyle w:val="TableContents"/>
              <w:bidi w:val="0"/>
              <w:spacing w:before="0" w:after="0"/>
              <w:jc w:val="left"/>
              <w:rPr/>
            </w:pPr>
            <w:r>
              <w:rPr>
                <w:spacing w:val="4"/>
              </w:rPr>
              <w:t>Naranjan Parhar</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7" w:type="dxa"/>
            <w:tcBorders/>
            <w:tcMar>
              <w:bottom w:w="0" w:type="dxa"/>
            </w:tcMar>
            <w:vAlign w:val="center"/>
          </w:tcPr>
          <w:p>
            <w:pPr>
              <w:pStyle w:val="TableContents"/>
              <w:bidi w:val="0"/>
              <w:spacing w:before="0" w:after="283"/>
              <w:jc w:val="right"/>
              <w:rPr/>
            </w:pPr>
            <w:r>
              <w:rPr/>
              <w:t>2,028,671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6.9%</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one percent. </w:t>
      </w:r>
      <w:r>
        <mc:AlternateContent>
          <mc:Choice Requires="wps">
            <w:drawing>
              <wp:anchor behindDoc="0" distT="96520" distB="0" distL="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39"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business address of SVK Metrix Inc. is c/o Eagle Nuclear Energy. Corp. 5470 Kietzke Lane, Suite 300, Reno, NV 89511. The shares reported above are held in the name of the SVK Metrix Inc. SVK Metrix Inc. is controlled by Kuljit Basi.</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254000" cy="350520"/>
                <wp:effectExtent l="0" t="0" r="0" b="0"/>
                <wp:wrapSquare wrapText="right"/>
                <wp:docPr id="240"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Blue Bird Capital Enterprises LLC (“Blue Bird”) is 1695 Alton Road, Miami, FL, 33139. Justus Parmar is the Manager of Blue Bird and has voting and investment control over the shares held by Blue Bird. </w:t>
      </w:r>
      <w:r>
        <mc:AlternateContent>
          <mc:Choice Requires="wps">
            <w:drawing>
              <wp:anchor behindDoc="0" distT="50800" distB="0" distL="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41"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Alyeska Master Fund, L.P., is 77 W. Wacker, Suite 700, Chicago, IL 60601.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Alyeska Investment Group, L.P. is located at 77 W. Wacker, Suite 700, Chicago IL 60601. </w:t>
      </w:r>
      <w:r>
        <mc:AlternateContent>
          <mc:Choice Requires="wps">
            <w:drawing>
              <wp:anchor behindDoc="0" distT="50800" distB="0" distL="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right"/>
                <wp:docPr id="242" name="Frame2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2,750,000 shares of Common Stock, (ii) 2,500,000 shares of Common Stock issuable upon the conversion of 29,700 shares of Preferred Stock, which are convertible at any time at the option of the holder at an initial conversion price of $11.88 per share, and (iii) PIPE Warrants to purchase an aggregate of 2,500,000 shares of Common Stock at an exercise price of $12.00 per share. </w:t>
      </w:r>
      <w:r>
        <mc:AlternateContent>
          <mc:Choice Requires="wps">
            <w:drawing>
              <wp:anchor behindDoc="0" distT="50800" distB="0" distL="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43"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reported above are held in the name of the Sponsor. The Sponsor is controlled by Pearl Energy Investment II, L.P., which is controlled by William Quinn. </w:t>
      </w:r>
      <w:r>
        <mc:AlternateContent>
          <mc:Choice Requires="wps">
            <w:drawing>
              <wp:anchor behindDoc="0" distT="50800" distB="0" distL="0" distR="0" simplePos="0" locked="0" layoutInCell="1" allowOverlap="1" relativeHeight="248">
                <wp:simplePos x="0" y="0"/>
                <wp:positionH relativeFrom="column">
                  <wp:align>left</wp:align>
                </wp:positionH>
                <wp:positionV relativeFrom="line">
                  <wp:align>top</wp:align>
                </wp:positionV>
                <wp:extent cx="254000" cy="350520"/>
                <wp:effectExtent l="0" t="0" r="0" b="0"/>
                <wp:wrapSquare wrapText="right"/>
                <wp:docPr id="244"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Sponsor owns (i) 2,408,334 shares of Common Stock, (ii) Working Capital Warrant to purchase 2,422,133 shares of Common Stock at an exercise price of $11.50 per share, and (iii) Private Warrants to purchase 7,000,000 shares of Common Stock at an exercise price of $11.50 per share. The Working Capital Warrants and Private Warrants include an optional beneficial ownership limitation pursuant to which a holder may elect not to exercise any portion of its warrants to the extent such exercise would result in beneficial ownership in excess of 9.8% of the Company’s outstanding Common Stock. The Sponsor has elected to be subject to this limitation. Accordingly, although 9,422,133 shares of Common Stock are issuable upon exercise of the warrants, only 490,439 shares are included as the maximum number of shares currently issuable due to the beneficial ownership limitation. </w:t>
      </w:r>
      <w:r>
        <mc:AlternateContent>
          <mc:Choice Requires="wps">
            <w:drawing>
              <wp:anchor behindDoc="0" distT="50800" distB="0" distL="0" distR="0" simplePos="0" locked="0" layoutInCell="1" allowOverlap="1" relativeHeight="249">
                <wp:simplePos x="0" y="0"/>
                <wp:positionH relativeFrom="column">
                  <wp:align>left</wp:align>
                </wp:positionH>
                <wp:positionV relativeFrom="line">
                  <wp:align>top</wp:align>
                </wp:positionV>
                <wp:extent cx="254000" cy="350520"/>
                <wp:effectExtent l="0" t="0" r="0" b="0"/>
                <wp:wrapSquare wrapText="right"/>
                <wp:docPr id="245"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each of the individuals is 1920-1075 W Georgia St., Vancouver, BC V6E 3C9. </w:t>
      </w:r>
      <w:r>
        <mc:AlternateContent>
          <mc:Choice Requires="wps">
            <w:drawing>
              <wp:anchor behindDoc="0" distT="50800" distB="0" distL="0" distR="0" simplePos="0" locked="0" layoutInCell="1" allowOverlap="1" relativeHeight="250">
                <wp:simplePos x="0" y="0"/>
                <wp:positionH relativeFrom="column">
                  <wp:align>left</wp:align>
                </wp:positionH>
                <wp:positionV relativeFrom="line">
                  <wp:align>top</wp:align>
                </wp:positionV>
                <wp:extent cx="254000" cy="350520"/>
                <wp:effectExtent l="0" t="0" r="0" b="0"/>
                <wp:wrapSquare wrapText="right"/>
                <wp:docPr id="246"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CRAR"/>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Transactions of Eagle Prior to the Business Combination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14, 2023, Eagle issued 408 shares to Mark Mukhija, its chief executive officer, in connection with its formation under the law of the state of Delaware. Mr. Mukhija paid a total of $1.00 for these shares. This issuance was exempt from registration under the Securities Act pursuant to Section 4(a)(2) thereof.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 2024, Eagle entered into a Consulting Agreement (the “Mukhija Agreement”) with Mr. Mukhija. Pursuant to the Mukhija Agreement, Mr. Mukhija provides Eagle with services usual and customary for a chief executive officer. The term of the Mukhija Agreement is indefinite and subject to termination for cause or upon 30 days’ prior written notice by the other party. Eagle currently pays Mr. Mukhija pursuant to the Mukhija Agreement $15,000 per month. Mr. Mukhija is also eligible to receive a one-time cash payment of $25,000 upon completion of an initial public offering, an initial grant of 1,000,000 stock options upon establishment of an incentive stock option plan, and expense reimbursement at Eagle’s discretion. For the year ended November 30, 2024 and the year ended November 30, 2025, Eagle paid Mr. Mukhija $117,157.14 and $270,012.46, respectively, inclusive of fees and expenses.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8, 2024, as a part of an exempt offering of Eagle’s shares of common stock to several purchasers, Eagle issued 1,428,566 shares, for $0.0025 per share to 1143373 BC Ltd., a company controlled by Yana Popova, its former Chief Financial Officer, for gross proceeds of $3,500. This offer of shares was exempt from registration under the Securities Act pursuant to Section 4(a)(2).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8, 2024, as a part of an exempt offering of Eagle’s shares of common stock to several purchasers, Eagle issued 408,162 shares, for $0.0025 per share to SVK Metrix Inc., a company controlled by Kuljit Basi, a director of Eagle, for gross proceeds of $1,000. This offer of shares was exempt from registration under the Securities Act pursuant to Section 4(a)(2).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8, 2024, as a part of an exempt offering of Eagle’s shares of common stock to several purchasers, Eagle issued 35,979,454 shares, for $0.0025 per share to Blue Bird Capital Corp., a company controlled by Justus Parmar, a beneficial owner of more than 20% of Eagle’s voting securities, for gross proceeds of $88,150. This offer of shares was exempt from registration under the Securities Act pursuant to Section 4(a)(2).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2024, Eagle entered into a Consulting Agreement (the “SVK Agreement”) with SVK Metrix Inc (“SVK”), a company controlled by Kuljit Basi. Pursuant to the SVK Agreement, SVK provides Eagle with services including (i) developing Eagle’s mining projects, (ii) leading management and definition of project scope, permitting processes, technical and economic evaluations and project implementation plans, (iii) managing internal and external consultants, (iv) managing technical analysis, strategic planning and project due diligence activities and (v) developing enterprise short-term and long-term alignment. The term of the SVK Agreement is indefinite and subject to termination for cause or upon 30 days’ prior written notice by the other party. Eagle agreed to pay $7,500 per month for the first six months, and $15,000 per month thereafter, with discretionary performance bonuses, expense reimbursement and eligibility for SVK to participate in Eagle’s equity incentive plan once established. For the year ended November 30, 2024 and the year ended November 30, 2025, Eagle paid SVK $93,839.32 and $219,236.04, respectively, inclusive of fees and expenses.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7, 2024, Eagle issued 1,428,566 shares to Mark Mukhija, its chief executive officer, at $0.0025 per share, for gross proceeds of $3,500, in an exempt offering under Section 4(a)(2) of the Securities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15, 2024, as a part of an exempt offering of Eagle’s shares of common stock to several purchasers, Eagle issued 408,162 shares, for $0.0025 per share to Mark Mukhija, its chief executive officer, for gross proceeds of $1,000. This offer of shares was exempt from registration under the Securities Act pursuant to Section 4(a)(2).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15, 2024, as a part of an exempt offering of Eagle’s shares of common stock to several purchasers, Eagle issued 3,265,293 shares, for $0.0025 per share to SVK Metrix Inc., a company controlled by Kuljit Basi, a director of Eagle, for gross proceeds of $8,000. This offer of shares was exempt from registration under the Securities Act pursuant to Section 4(a)(2).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727 Consulting Ltd</w:t>
      </w:r>
      <w:r>
        <w:rPr>
          <w:rFonts w:ascii="Times New Roman;Times;serif" w:hAnsi="Times New Roman;Times;serif"/>
          <w:b w:val="false"/>
          <w:i/>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 2024, Eagle entered into a Consulting Agreement (the “727 Agreement”) with 727 Consulting Ltd (“727”), a company controlled by Yana Popova, Eagle’s former chief financial officer. Pursuant to the 727 Agreement, 727 performed the services of Eagle’s chief financial officer, including (1) cash flow management, (2) financial reporting, (3) forecasting and (4) compliance. The term of the 727 Agreement is indefinite, subject to termination for cause, termination upon 90 days’ notice by the Company or 30 days’ notice by 727. Eagle agreed to pay $15,000 per month plus applicable taxes, and acknowledged and confirmed that it had paid 727 $7,500 per month from April 1, 2024 to September 30, 2024. The 727 Agreement also provided for discretionary bonus payments, participation in Eagle’s equity incentive plan once established, and expense reimbursement. For the year ended November 30, 2024 and the year ended November 30, 2025, Eagle paid 727 $77,717.16 and $231,399.26, respectively, inclusive of fees and expenses. Yana Popova ceased acting as Eagle’s chief financial officer on October 15, 2025.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Blue Bird Capital Corp.</w:t>
      </w:r>
      <w:r>
        <w:rPr>
          <w:rFonts w:ascii="Times New Roman;Times;serif" w:hAnsi="Times New Roman;Times;serif"/>
          <w:b w:val="false"/>
          <w:i/>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 2024, Eagle issued a discretionary bonus of 300,000 shares to Blue Bird Capital Corp., (“Blue Bird”) a company controlled by Justus Parmar, a beneficial owner of more than 20% of Eagle’s voting securities, pursuant to the terms of a consulting agreement with Blue Bird Capital Corp. dated January 1, 2024 (the “Blue Bird Agreement”). Pursuant to the Blue Bird Agreement, Blue Bird (1) advised Eagle on capital markets, corporate finance and in connection with asset acquisitions and mergers and acquisitions transactions, (2) reviewed potential business development opportunities for Eagle, (3) evaluated financing options for Eagle and sourcing financing partners, (4) advised on suitable financial structures for Eagle, (5) attended strategy meetings with senior management and (6) engaged in general additional duties. Eagle paid Blue Bird $16,000 per month plus applicable taxes, in addition to discretionary bonus payments in cash or securities of Eagle to Blue Bird as well as reimbursable expenses incurred by Blue Bird. On December 31, 2024, the Eagle and Blue Bird mutually terminated the Blue Bird Agreement effective immediately. For the year ended November 30, 2024 and the year ended November 30, 2025, Eagle paid Blue Bird $284,479.67 and $134,423.99, respectively, inclusive of fees and expenses.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Fortuna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 2025, Eagle entered into a Consulting Agreement (the “Fortuna Agreement”) with Fortuna Advisors LLC, a Delaware limited liability company (“Fortuna”), also controlled by Justus Parmar. Fortuna provides the same services to Eagle as outlined in the Blue Bird Agreement. The Term of the Fortuna Agreement is for a period of 12 months, subject to termination for cause or upon 30 days’ written notice. Eagle agreed to pay Fortuna $25,000 per month plus applicable taxes on a monthly basis. In addition, Fortuna may be reimbursed for expenses and receive a performance bonus, each at the discretion of Eagle. For the year ended November 30, 2025, Eagle paid Fortuna $553,210.24, inclusive of fees and expenses.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1268966 B.C. LTD</w:t>
      </w:r>
      <w:r>
        <w:rPr>
          <w:rFonts w:ascii="Times New Roman;Times;serif" w:hAnsi="Times New Roman;Times;serif"/>
          <w:b w:val="false"/>
          <w:i/>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October 15, 2025, Eagle entered into a Consulting Agreement (the “126 Agreement”) with 1268966 B.C. LTD, a company controlled by Ajaypreet Toor. Pursuant to the 126 Agreement, 1268966 B.C. LTD will perform the services of Eagle’s chief financial officer, including financial reporting; overseeing treasury duties; assisting with development and realization of revenue projections; assisting with executive recruitment; and, compliance. The term of the 126 Agreement is indefinite, subject to termination for cause, termination upon 90 days’ notice by the Company or 30 days’ notice by 1268966 B.C. LTD. Eagle agreed to pay $10,750 per month plus applicable taxes. The 126 Agreement also provides for expense reimbursement, and the Company’s commitment to use commercially reasonable efforts to cause the resulting issuer to issue 90,000 stock options upon completion of listing on the Nasdaq Stock Exchange. For the year ended November 30, 2025, Eagle paid 1268966 B.C. LTD $19,859.90, inclusive of fees and expenses.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SVK Metrix Inc.</w:t>
      </w:r>
      <w:r>
        <w:rPr>
          <w:rFonts w:ascii="Times New Roman;Times;serif" w:hAnsi="Times New Roman;Times;serif"/>
          <w:b w:val="false"/>
          <w:i/>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2024, Eagle entered into a consulting agreement with SVK Metrix Inc., a British Columbia corporation owned by Kuljit Basi. Pursuant to that agreement, Eagle pays SVK Metrix Inc. a consulting fee of $7,500 per month for the first 6 months and $15,000 per month thereafter to compensate it for the provision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Basi’s Vice President — Project Development services to Eagle. Further, Eagle agreed to reimburse Mr. Basi for pre-approved business expenses, provided they are documented in accordance with its company policy. Eagle’s agreement with SVK Metrix Inc. may be terminated immediately for cause, by either party with 30 days’ written notice, or automatically upon bankruptcy, dissolution, or upon Mr. Basi’s death. The consulting agreement includes standard confidentiality, invention assignment, and indemnification provisions.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Related to the Business Combination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Lock-Up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Business Combination, certain former Eagle shareholders and certain of our officers and directors (the “Lock-Up Shareholders”) entered into a lock-up agreement pursuant to which they will be contractually restricted from selling or transferring any of (i) their Common Stock held immediately following the Closing and (ii) any of their Common Stock that result from converting securities held immediately following the Closing (the “Lock-Up Shares”). Such restrictions began at Closing and end 180 days after closing.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Indemnity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each of the members of the Board entered into an Indemnity Agreement with New Eagle (collectively, the “Director Indemnity Agreements,” and each, a “Director Indemnity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and Bylaws provide for indemnification and advancement of expenses for our directors and officers to the fullest extent permitted by the NRS, subject to certain limited exceptions. In connection with the Closing, we intend to enter into new indemnification agreements for each director and officer of New Eagle, the form of which is filed as an exhibit to the registration statement of which this prospectus forms a part, and incorporated herein by reference.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Registration Rights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Merger Agreement, we entered into the Registration Rights Agreement with the Sponsor and certain holders of Common Stock, and their permitted transferees, pursuant to which, among other things, (i) we agreed to file, within 30 days following the Closing Date, a registration statement covering the resale of certain shares of Common Stock and other equity securities of New Eagle, (ii) holders of Registrable Securities (as defined therein) were granted certain takedown, demand, block trade and piggyback registration rights with respect to their Registrable Securities, in each case, on the terms and subject to the conditions set forth in the Registration Rights Agreement. We will bear the cost of registering these securities. The registration and availability of such a significant number of securities for trading in the public market may have an adverse effect on the market price of our Common Shares. We will bear the expenses incurred in connection with the filing of any such registration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Transactions Policy Following the Business Combination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Business Combination, our Board adopted a written Related Party Transactions Policy that sets forth our policies and procedures regarding the identification, review, consideration and oversight of “related party transactions.” For purposes of the policy only, a “related party transaction” is a transaction, arrangement or relationship (or any series of similar transactions, arrangements or relationships) in which we or any of our subsidiaries are participants involving an amount that exceeds $120,000, in which any “related party” has a material interest.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involving compensation for services provided to us as an employee, consultant or director will not be considered related party transactions under this policy. A “related party” is any executive officer, director, nominee to become a director or a holder of more than 5% of any class of our voting securities, including any of their immediate family members and affiliates, including entities owned or controlled by such persons.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policy, the related party in question or, in the case of transactions with a holder of more than 5% of any class of our voting securities, an officer with knowledge of a proposed transaction, must present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regarding the proposed related party transaction to our audit committee (or, where review by our audit committee would be inappropriate, to another independent body of our Board) for review.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will approve only those transactions that it determines are fair to us and in our best interests. All of the transactions described above were entered into prior to the adoption of such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Code requires us to avoid, wherever possible, all related party transactions that could result in actual or potential conflicts of interests, except under guidelines approved by the Board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pursuant to its written charter, is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the board who do not have an interest in the transaction, in either case who have access, at our expense, to its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will require each of our directors and executive officers to complete a directors’ and officers’ questionnaire that elicits information about related party transactions.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procedures are intended to determine whether any such related party transaction impairs the independence of a director or presents a conflict of interest on the part of a director, employee or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DOCS"/>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is not intended to be a complete summary of the rights and preferences of such securities, and is qualified by reference to the Charter, a copy of which is filed as an exhibit to the registration statement of which this prospectus forms a part. We urge you to read the Charter in its entirety for a complete description of the rights and preferences of our securities following the consummation of the Business Combination.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Eagle’s authorized capital stock will consist of 300,000,000 shares of common stock, par value $0.0001 per share, and 3,500,000 shares of preferred stock, par value $0.0001 per share. In connection with the Closing of the Business Combination, New Eagle filed the Certificate of Designation with the Nevada Secretary of State to establish the Preferred Stock and authorize the issuance of 29,700 shares of Preferred Stock. Unless the Board determines otherwise, New Eagle will issue all shares of its capital stock in uncertificated form.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Voting rights.   </w:t>
      </w:r>
      <w:r>
        <w:rPr>
          <w:rFonts w:ascii="Times New Roman;Times;serif" w:hAnsi="Times New Roman;Times;serif"/>
          <w:b w:val="false"/>
          <w:i w:val="false"/>
          <w:caps w:val="false"/>
          <w:smallCaps w:val="false"/>
          <w:color w:val="000000"/>
          <w:spacing w:val="4"/>
          <w:sz w:val="20"/>
        </w:rPr>
        <w:t xml:space="preserve">Holders of shares of Common Stock will be entitled to one (1) vote for each share of Common Stock held as of the record date on all matters submitted to a vote of stockholders, provided, however, that, except as otherwise required in the New Eagle Charter or by applicable law, the holders of Common Stock will not be entitled to vote on any amendment to the New Eagle Charter that relates solely to the terms of one or more outstanding series of preferred stock if the holders of such affected series are entitled, either separately or together with the holders of one or more other such series, to vote thereon pursuant to the New Eagle Charter (including any certificate of designation relating to any series of preferred stock) or pursuant to the NRS.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Dividend rights.   </w:t>
      </w:r>
      <w:r>
        <w:rPr>
          <w:rFonts w:ascii="Times New Roman;Times;serif" w:hAnsi="Times New Roman;Times;serif"/>
          <w:b w:val="false"/>
          <w:i w:val="false"/>
          <w:caps w:val="false"/>
          <w:smallCaps w:val="false"/>
          <w:color w:val="000000"/>
          <w:spacing w:val="4"/>
          <w:sz w:val="20"/>
        </w:rPr>
        <w:t xml:space="preserve">Subject to applicable law and the rights and preferences of the holders of any outstanding series of preferred stock, including the Preferred Stock, and to the other provisions of the New Eagle Charter, the holders of Common Stock shall be entitled to the payment of dividends on the Common Stock in cash, in property or in shares of Common Stock when, as and if declared thereon by the Board from time to time out of assets or funds of New Eagle legally available therefor.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Rights upon liquidation.   </w:t>
      </w:r>
      <w:r>
        <w:rPr>
          <w:rFonts w:ascii="Times New Roman;Times;serif" w:hAnsi="Times New Roman;Times;serif"/>
          <w:b w:val="false"/>
          <w:i w:val="false"/>
          <w:caps w:val="false"/>
          <w:smallCaps w:val="false"/>
          <w:color w:val="000000"/>
          <w:spacing w:val="4"/>
          <w:sz w:val="20"/>
        </w:rPr>
        <w:t xml:space="preserve">Subject to the rights of holders of preferred stock, including the Preferred Stock, upon New Eagle’s liquidation, dissolution or winding up and after payment in full of all amounts required to be paid to creditors and to any future holders of preferred stock having liquidation preferences, including the Preferred Stock, the holders of Common Stock will be entitled to receive pro rata New Eagle’s remaining assets available for distribution.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Eagle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Charter, the Board is authorized to direct New Eagle to issue shares of preferred stock in one or more series without stockholder approval. The Board has the discretion to determine the rights, powers, preferences, privileges and restrictions, including voting rights, dividend rights, conversion rights, redemption privileges and liquidation preferences, of each series of preferred stock.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authorizing the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the outstanding voting stock. Additionally, the issuance of preferred stock may adversely 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New Eagle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Closing of the Business Combination, New Eagle filed the Certificate of Designation and authorized the issuance of 29,700 shares of Preferred Stock. For a complete description of the rights and preferences of the Preferred Stock, you should refer to the Certificate of Designation, which is filed as an exhibit to the registration statement of which this prospectus forms a part, and incorporated herein by reference</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The Preferred Stock will accrue dividends daily at the rate of 12% per annum of $1,000.00 (if paid in kind, such shares issued, the “PIK Dividend Shares”), plus the amount of previously accrued dividends paid in kind as PIK Dividend Shares, or 10% per annum of the Stated Value (if paid in cash), plus the amount of previously accrued dividends paid in kind. Such dividends will compound semi-annually.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Preference</w:t>
      </w:r>
      <w:r>
        <w:rPr>
          <w:rFonts w:ascii="Times New Roman;Times;serif" w:hAnsi="Times New Roman;Times;serif"/>
          <w:b w:val="false"/>
          <w:i w:val="false"/>
          <w:caps w:val="false"/>
          <w:smallCaps w:val="false"/>
          <w:color w:val="000000"/>
          <w:spacing w:val="4"/>
          <w:sz w:val="20"/>
        </w:rPr>
        <w:t xml:space="preserve">.   Upon any liquidation or deemed liquidation event, the holders of Preferred Stock will be entitled to receive out of the available proceeds, before any distribution is made to holders of common stock or any other junior securities, an amount per share equal to the greater of (i) 100% of the Accrued Value (as defined in the Certificate of Designation) or (ii) such amount per share as would have been payable had all shares of Preferred Stock been converted into Common Stock immediately prior to the liquidation event. Thereafter, the holders of Preferred Stock will be entitled to receive their pro-rata share, of the remaining available proceeds available for distribution to stockholders, on an as-converted to Common Stock basis.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w:t>
      </w:r>
      <w:r>
        <w:rPr>
          <w:rFonts w:ascii="Times New Roman;Times;serif" w:hAnsi="Times New Roman;Times;serif"/>
          <w:b w:val="false"/>
          <w:i w:val="false"/>
          <w:caps w:val="false"/>
          <w:smallCaps w:val="false"/>
          <w:color w:val="000000"/>
          <w:spacing w:val="4"/>
          <w:sz w:val="20"/>
        </w:rPr>
        <w:t xml:space="preserve">.   The Preferred Stock will vote together with the Common Stock as a single class, except (i) as required by law and (ii) as noted below under “Protective Provisions.” Each holder of Preferred Stock shall be entitled to cast the number of votes equal to the number of whole shares of Common Stock into which the shares of Preferred Stock held by such holder are convertible as of the record date for determining stockholders entitled to vote on such matter.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Protective Provisions</w:t>
      </w:r>
      <w:r>
        <w:rPr>
          <w:rFonts w:ascii="Times New Roman;Times;serif" w:hAnsi="Times New Roman;Times;serif"/>
          <w:b w:val="false"/>
          <w:i w:val="false"/>
          <w:caps w:val="false"/>
          <w:smallCaps w:val="false"/>
          <w:color w:val="000000"/>
          <w:spacing w:val="4"/>
          <w:sz w:val="20"/>
        </w:rPr>
        <w:t xml:space="preserve">.   For as long as 20% of the shares of Preferred Stock issued as of the Closing are held by the PIPE Investor, New Eagle shall not, without the affirmative vote or action by written consent of holders of more than 80% of the issued and outstanding shares of Preferred Stock, take any of the following actions: (i) liquidate, dissolve or wind up the affairs of New Eagle; (ii) amend, alter, or repeal any provision of the Certificate of Designation or any similar document of New Eagle in a manner adverse to the Preferred Stock; (iii) create or authorize the creation of or issue any other security convertible into or exercisable for any equity security unless such security ranks junior to the Preferred Stock with respect to its rights, preferences and privileges, or increase the authorized number of shares of Preferred Stock; (iv) purchase or redeem or pay any cash dividend on any capital stock ranking junior to the Preferred Stock, other than stock repurchased at cost from former employees and consultants in connection with the cessation of their service; (v) enter into any transaction with an affiliate that is not on arms’-length terms, other than the issuance of equity or awards to eligible participants under New Eagle’s incentive plan, equity plan or equity-based compensation plan, or with respect to employment, consulting or award agreements with respect to executive officers of New Eagle, in each case regardless of whether such person (or such person’s affiliates) would be considered an affiliate of New Eagle; or (vi) incur or guarantee any indebtedness, other than equipment leases or trade payables incurred in the ordinary course of business, if the aggregate indebtedness of New Eagle and its subsidiaries for borrowed money following such action would exceed $5,000,000; provided, however, that the Preferred Stock shall not be considered indebtedness for purposes of this calculation.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Conversion</w:t>
      </w:r>
      <w:r>
        <w:rPr>
          <w:rFonts w:ascii="Times New Roman;Times;serif" w:hAnsi="Times New Roman;Times;serif"/>
          <w:b w:val="false"/>
          <w:i w:val="false"/>
          <w:caps w:val="false"/>
          <w:smallCaps w:val="false"/>
          <w:color w:val="000000"/>
          <w:spacing w:val="4"/>
          <w:sz w:val="20"/>
        </w:rPr>
        <w:t xml:space="preserve">.   Each share of Preferred Stock will be convertible into shares of Common Stock at any time at the option of the holder at rate equal to the Accrued Value, divided by the then-applicable conversion price. The conversion price will initially be $11.88, subject to adjustments for stock dividends, splits, combinations and similar events and customary anti-dilution adjustments, including with respect to future issuances or sales of Common Stock at prices less than $10.00 per share. In addition, if the 20-day volume-weighted average price of the Common Stock on the twenty-first trading day following the date that is six months after the effective date of the resale registration statement to be filed pursuant to the Registration Rights Agreement is less than the conversion price then in effect, the conversion price will be adjusted to the greater of (i) such volume weighted average price and (ii) $7.50. The Preferred Stock will not be converted into shares of Common Stock at a price less than $5.00 per share.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Put Rights</w:t>
      </w:r>
      <w:r>
        <w:rPr>
          <w:rFonts w:ascii="Times New Roman;Times;serif" w:hAnsi="Times New Roman;Times;serif"/>
          <w:b w:val="false"/>
          <w:i w:val="false"/>
          <w:caps w:val="false"/>
          <w:smallCaps w:val="false"/>
          <w:color w:val="000000"/>
          <w:spacing w:val="4"/>
          <w:sz w:val="20"/>
        </w:rPr>
        <w:t xml:space="preserve">.   Unless prohibited by applicable law governing distributions to stockholders, the Preferred Stock shall be redeemable at the option of the Requisite Holders commencing any time after the fifth anniversary of the Closing at a price equal to the Accrued Value.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Call Rights</w:t>
      </w:r>
      <w:r>
        <w:rPr>
          <w:rFonts w:ascii="Times New Roman;Times;serif" w:hAnsi="Times New Roman;Times;serif"/>
          <w:b w:val="false"/>
          <w:i w:val="false"/>
          <w:caps w:val="false"/>
          <w:smallCaps w:val="false"/>
          <w:color w:val="000000"/>
          <w:spacing w:val="4"/>
          <w:sz w:val="20"/>
        </w:rPr>
        <w:t xml:space="preserve">.   Unless prohibited by applicable law governing distributions to stockholders, the Preferred Stock shall be redeemable at the option of New Eagle commencing any time (A) prior to the first anniversary of the Closing at a price equal to the 150% of the Accrued Value, (B) on or after the first anniversary but prior to the second anniversary of the Closing at a price equal to the 140% of the Accrued Value, (C) on or after the second anniversary of the Closing but prior to the third anniversary of the Closing at a price equal to the 130% of the Accrued Value, (D) on or after the third anniversary of the Closing but prior to the fourth anniversary of the Closing at a price equal to the 120% of the Accrued Value, (E) on or after the fourth anniversary of the Closing but prior to the fifth anniversary of the Closing at a price equal to the 110% of the Accrued Value, or (F) on or after the fifth anniversary of the Closing at a price equal to the 100% of the Accrued Value.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Ownership Limitation.</w:t>
      </w:r>
      <w:r>
        <w:rPr>
          <w:rFonts w:ascii="Times New Roman;Times;serif" w:hAnsi="Times New Roman;Times;serif"/>
          <w:b w:val="false"/>
          <w:i w:val="false"/>
          <w:caps w:val="false"/>
          <w:smallCaps w:val="false"/>
          <w:color w:val="000000"/>
          <w:spacing w:val="4"/>
          <w:sz w:val="20"/>
        </w:rPr>
        <w:t>   A holder of Preferred Stock may elect, by written notice to New Eagle, to be subject to a beneficial ownership limitation with respect to the conversion of the Preferred Stock. If a holder makes such election, New Eagle will not effect, and such holder will not have the right to effect, any conversion of the Preferred Stock to the extent that, after giving effect to such conversion, such holder (together with its affiliates and any other persons whose beneficial ownership would be aggregated with such holder’s beneficial ownership for purposes of Section 13(d) of the Exchange Act) would beneficially own in excess of 4.9%, 9.9% or 19.9%, as applicable, of New Eagle’s outstanding shares of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Eagle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Public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currently outstanding an aggregate of 11,500,000 SVII Public Warrants, which, following the consummation of the Transaction, will entitle the holders to acquire Common Stock. Each whole warrant will entitle the registered holder to purchase one share of Common Stock at a price of $11.50 per share, subject to adjustment as discussed below, at any time commencing 30 days after the completion of the Transaction, except as discussed in the immediately succeeding paragraph. Pursuant to the Public Warrant Agreement (or, following the Transaction, the New Eagle Public Warrant Agreement), a warrant holder may exercise its SVII Public Warrants (or, following the Transaction, Public Warrants) only for a whole number of shares of Common Stock. This means only a whole warrant may be exercised at a given time by a warrant holder. No fractional warrants will be issued upon separation of the SVII Units and only whole warrants will trade. Accordingly, unless you hold at least two SVII Units upon such separation, you will not be able to receive or trade a whole warrant. The warrants will expire five years after the completion of the Transaction, at 5:00 p.m., New York City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will not be obligated to deliver any shares of Common Stock pursuant to the exercise of a New Eagle Public Warrant and will have no obligation to settle such warrant exercise unless a registration statement under the Securities Act with respect to the shares of Common Stock underlying the warrants is then effective and a prospectus relating thereto is current, subject to New Eagle satisfying its obligations described below with respect to registration, or a valid exemption from registration is available. No Public Warrants will be exercisable for cash or on a cashless basis, and New Eagle will not be obligated to issue Common Stock upon exercise of a New Eagle Public Warrant unless the Common Stock issuable upon such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New Eagle Public Warrant, the holder of such warrant will not be entitled to exercise such warrant and such warrant may have no value and expire worthless. In no event will New Eagle be required to net cash settle any New Eagle Public Warrant. In the event that a registration statement is not effective for the exercised Public Warrants, the purchaser of a SVII Unit containing such warrant will have paid the full purchase price for the SVII Unit solely for the Common Stock underlying such SVII Unit.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New Eagle Public Warrant Agreement, New Eagle will agree that as soon as practicable, but in no event later than 30 calendar days after the closing of the Transaction, it will use its commercially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efforts to file with the SEC a registration statement for the registration, under the Securities Act, of the Common Stock issuable upon exercise of the Public Warrants, and it will use its commercially reasonable efforts to cause the same to become effective within 90 calendar days (or one hundred twenty (120) days if the SEC notifies New Eagle that it will “review” the registration statement) after the closing of the Transaction, and to maintain the effectiveness of such registration statement and a current prospectus relating to the Common Stock until the Public Warrants expire or are redeemed, as specified in the New Eagle Public Warrant Agreement; provided that if the Common Stock is at the time of any exercise of a New Eagle Public Warrant not listed on a national securities exchange such that they satisfy the definition of a “covered security” under Section 18(b)(1) of the Securities Act, New Eagle may, at its option, require holders of Public Warrants who exercise their Public Warrants to do so on a “cashless basis” in accordance with Section 3(a)(9) of the Securities Act and, in the event New Eagle so elects, it will not be required to file or maintain in effect a registration statement, but it will use its commercially reasonable efforts to register or qualify the shares under applicable blue sky laws to the extent an exemption is not available. If a registration statement covering the Common Stock issuable upon exercise of the warrants is not effective by the 90th calendar day after the closing of the Transaction, warrant holders may, until such time as there is an effective registration statement and during any period when New Eagle will have failed to maintain an effective registration statement, exercise warrants on a “cashless basis” in accordance with Section 3(a)(9) of the Securities Act or another exemption, but New Eagle will use its commercially reasonable efforts to register or qualify the shares under applicable blue sky laws to the extent an exemption is not available. In such event, each holder would pay the exercise price by surrendering each such warrant for that number of shares Common Stock per warrant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means the 10-day average closing price as of the date on which the notice of redemption is received.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Redemption of Public Warrants</w:t>
      </w:r>
      <w:r>
        <w:rPr>
          <w:rFonts w:ascii="Times New Roman;Times;serif" w:hAnsi="Times New Roman;Times;serif"/>
          <w:b w:val="false"/>
          <w:i w:val="false"/>
          <w:caps w:val="false"/>
          <w:smallCaps w:val="false"/>
          <w:color w:val="000000"/>
          <w:spacing w:val="4"/>
          <w:sz w:val="20"/>
        </w:rPr>
        <w:t xml:space="preserve">.   Once the Public Warrants become exercisable, New Eagle may redeem the outstanding Public Warrants (except as described herein with respect to the Public Warrants):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7239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7"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price of $0.01 per warrant; </w:t>
      </w:r>
      <w:r>
        <mc:AlternateContent>
          <mc:Choice Requires="wps">
            <w:drawing>
              <wp:anchor behindDoc="0" distT="7239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8"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minimum of 30 days’ prior written notice of redemption to each warrant holder; and </w:t>
      </w:r>
      <w:r>
        <mc:AlternateContent>
          <mc:Choice Requires="wps">
            <w:drawing>
              <wp:anchor behindDoc="0" distT="7239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9"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and only if, the closing price of the Common Stock equals or exceeds $18.00 per share (as adjusted for adjustments to the number of shares issuable upon exercise or the exercise price of a public warrant as described under the heading “— </w:t>
      </w:r>
      <w:r>
        <w:rPr>
          <w:rFonts w:ascii="Times New Roman;Times;serif" w:hAnsi="Times New Roman;Times;serif"/>
          <w:b w:val="false"/>
          <w:i/>
          <w:caps w:val="false"/>
          <w:smallCaps w:val="false"/>
          <w:color w:val="000000"/>
          <w:spacing w:val="4"/>
          <w:sz w:val="20"/>
        </w:rPr>
        <w:t>New Eagle Warrants — Public Warrants — Anti-Dilution Adjustments</w:t>
      </w:r>
      <w:r>
        <w:rPr>
          <w:rFonts w:ascii="Times New Roman;Times;serif" w:hAnsi="Times New Roman;Times;serif"/>
          <w:b w:val="false"/>
          <w:i w:val="false"/>
          <w:caps w:val="false"/>
          <w:smallCaps w:val="false"/>
          <w:color w:val="000000"/>
          <w:spacing w:val="4"/>
          <w:sz w:val="20"/>
        </w:rPr>
        <w:t xml:space="preserve">”) for any 20 trading days within a 30-trading day period ending three trading days before New Eagle sends the notice of redemption to the New Eagle Public Warrant holders. </w:t>
      </w:r>
      <w:r>
        <mc:AlternateContent>
          <mc:Choice Requires="wps">
            <w:drawing>
              <wp:anchor behindDoc="0" distT="7239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0"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Eagle will not redeem the Public Warrants as described above unless a registration statement under the Securities Act covering the Common Stock issuable upon exercise of the Public Warrants is then effective and a current prospectus relating to the Common Stock is available throughout the 30-day redemption period or if New Eagle has elected to require the exercise of the Public Warrants on a “cashless basis” as described below. If and when the Public Warrants become redeemable by New Eagle, New Eagle may exercise its redemption right even if it is unable to register or qualify the underlying securities for sale under all applicable state securities laws. As a result, New Eagle may redeem the warrants as set forth above even if the holders are otherwise unable to exercise the warrants.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New Eagle has established the last of the redemption criterion discussed above to prevent a redemption call unless there is at the time of the call a significant premium to the warrant exercise price. If the foregoing conditions are satisfied and New Eagle issues a notice of redemption of the Public Warrants, each warrant holder will be entitled to exercise his, her or its New Eagle Public Warrant prior to the scheduled redemption date. However, the price of the Common Stock may fall below the $18.00 redemption trigger price (as adjusted for adjustments to the number of shares issuable upon exercise or the exercise price of a warrant as described under the heading “— </w:t>
      </w:r>
      <w:r>
        <w:rPr>
          <w:rFonts w:ascii="Times New Roman;Times;serif" w:hAnsi="Times New Roman;Times;serif"/>
          <w:b w:val="false"/>
          <w:i/>
          <w:caps w:val="false"/>
          <w:smallCaps w:val="false"/>
          <w:color w:val="000000"/>
          <w:spacing w:val="4"/>
          <w:sz w:val="20"/>
        </w:rPr>
        <w:t>New Eagle Warrants — Public Warrants — Anti-dilution Adjustments</w:t>
      </w:r>
      <w:r>
        <w:rPr>
          <w:rFonts w:ascii="Times New Roman;Times;serif" w:hAnsi="Times New Roman;Times;serif"/>
          <w:b w:val="false"/>
          <w:i w:val="false"/>
          <w:caps w:val="false"/>
          <w:smallCaps w:val="false"/>
          <w:color w:val="000000"/>
          <w:spacing w:val="4"/>
          <w:sz w:val="20"/>
        </w:rPr>
        <w:t xml:space="preserve">”) as well as the $11.50 (for whole shares) warrant exercise price after the redemption notice is issued.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New Eagle calls the Public Warrants for redemption as described above, it will have the option to require any holder that wishes to exercise its New Eagle Public Warrant to do so on a “cashless basis.”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whether to require all holders to exercise their Public Warrants on a “cashless basis,” New Eagle will consider, among other factors, its cash position, the number of Public Warrants that are outstanding and the dilutive effect on its shareholders of issuing the maximum number of shares of Common Stock issuable upon the exercise of the Public Warrants. If New Eagle takes advantage of this option, all holders of Public Warrants would pay the exercise price by surrendering their Public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means the 10-day average closing price as of the date on which the notice of redemption is sent to the holders of the warrants. If New Eagle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New Eagle believes this feature is an attractive option to if it does not need the cash from the exercise of the warrants after the Transaction. If New Eagle calls its warrants for redemption and it does not take advantage of this option, the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Redemption Procedures</w:t>
      </w:r>
      <w:r>
        <w:rPr>
          <w:rFonts w:ascii="Times New Roman;Times;serif" w:hAnsi="Times New Roman;Times;serif"/>
          <w:b w:val="false"/>
          <w:i w:val="false"/>
          <w:caps w:val="false"/>
          <w:smallCaps w:val="false"/>
          <w:color w:val="000000"/>
          <w:spacing w:val="4"/>
          <w:sz w:val="20"/>
        </w:rPr>
        <w:t xml:space="preserve">.   A holder of a New Eagle Public Warrant may notify New Eagle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Common Stock issued and outstanding immediately after giving effect to such exercise.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Anti-dilution Adjustments</w:t>
      </w:r>
      <w:r>
        <w:rPr>
          <w:rFonts w:ascii="Times New Roman;Times;serif" w:hAnsi="Times New Roman;Times;serif"/>
          <w:b w:val="false"/>
          <w:i w:val="false"/>
          <w:caps w:val="false"/>
          <w:smallCaps w:val="false"/>
          <w:color w:val="000000"/>
          <w:spacing w:val="4"/>
          <w:sz w:val="20"/>
        </w:rPr>
        <w:t xml:space="preserve">.   If the number of outstanding shares of Common Stock is increased by a capitalization or share dividend payable in Common Stock, or by a split-up of common stock or other similar event, then, on the effective date of such capitalization or stock dividend, split-up or similar event, the number of shares of Common Stock issuable on exercise of each New Eagle Public Warrant will be increased in proportion to such increase in the outstanding ordinary shares. A rights offering made to all or substantially all holders of ordinary shares entitling holders to purchase shares of Common Stock at a price less than the fair market value (as defined below) will be deemed a share dividend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and (ii) one minus the quotient of (x) the price per share of Common Stock paid in such rights offering and (y) the fair market value. For these purposes,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“Fair market value” means the 10-day average closing price as of the first date on which the shares of Common Stock trade on the applicable exchange or in the applicable market, regular way, without the right to receive such rights. “10-day average closing price” shall mean, as of any date, the average last reported sale price of the Common Stock as reported during the 10 trading day period ending on the trading day prior to such date. Notwithstanding anything to the contrary, no shares of Common Stock shall be issued at less than their par value.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New Eagle, at any time while the Public Warrants are outstanding and unexpired, pays a dividend or makes a distribution in cash, securities or other assets to all or substantially all of the holders of the Common Stock on account of such shares of Common Stock (or other securities into which the warrants are convertible), other than (a) as described above, or (b) certain ordinary cash dividends.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shares of Common Stock is decreased by a consolidation, combination, reverse share sub-division or reclassification of shares of Common Stock or other similar event, then, on the effective date of such consolidation, combination, reverse share sub-division, reclassification or similar event, the number of shares of Common Stock issuable on exercise of each New Eagle Public Warrant will be decreased in proportion to such decrease in outstanding shares of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 The New Eagle Warrant Agreements provide that no adjustment to the number of shares of Common Stock issuable upon exercise of a warrant will be required until cumulative adjustments amount to 1% or more of the number of shares of Common Stock issuable upon exercise of a warrant as last adjusted. Any such adjustments that are not made will be carried forward and taken into account in any subsequent adjustment. All such carried forward adjustments will be made (i) in connection with any subsequent adjustment that (taken together with such carried forward adjustments) would result in a change of at least 1% in the number of shares of Common Stock issuable upon exercise of a warrant and (ii) on the exercise date of any warrant.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reclassification or reorganization of the issued and outstanding Common Stock (other than those described above or that solely affects the par value of such Common Stock), or in the case of any merger or consolidation of New Eagle with or into another corporation (other than a consolidation or merger in which New Eagle is the continuing corporation and that does not result in any reclassification or reorganization of the outstanding Common Stock), or in the case of any sale or conveyance to another corporation or entity of the assets or other property of New Eagle as an entirety or substantially as an entirety in connection with which New Eagle is dissolved, the holders of the warrants will thereafter have the right to purchase and receive, upon the basis and upon the terms and conditions specified in the public warrants and in lieu of the Common Stock immediately theretofore purchasable and receivable upon the exercise of the rights represented thereby, the kind and amount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Public Warrants immediately prior to such event.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New Eagle Public Warrant properly exercises the New Eagle Public Warrant within thirty days following public disclosure of such transaction, the New Eagle Public Warrant exercise price will be reduced as specified in the New Eagle Public Warrant Agreement based on the Black-Scholes value (as defined in the New Eagle Public Warrant Agreement) of the warrant. The purpose of such exercise price reduction is to provide additional value to holders of the Public Warrants when an extraordinary transaction occurs during the exercise period of the Public Warrants pursuant to which the holders of the warrants otherwise do not receive the full potential value of the Public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will be issued in registered form under the New Eagle Public Warrant Agreement between Continental, as warrant agent, and New Eagle. The New Eagle Public Warrant Agreement provides that the terms of the Public Warrants may be amended without the consent of any holder for the purpose of (i) curing any ambiguity or to correct any mistake, including to conform the provisions of the New Eagle Public Warrant Agreement to the description of the terms of the SVII Public Warrants and the Public Warrant Agreement set forth in the IPO Prospectus, or defective provision or (ii) adding or changing any provisions with respect to matters or questions arising under the New Eagle Public Warrant Agreement as the parties to the New Eagle Public Warrant Agreement may deem necessary or desirable and that the parties deem to not adversely affect the rights of the registered holders of the Public Warrants, provided that the approval by the holders of at least 50% of the then-outstanding Public Warrants is required to make any change that adversely affects the interests of the registered 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New Eagle, for the number of Public Warrants being exercised. The warrant holders do not have the rights or privileges of holders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may be exercised only for a whole number of shares of Common Stock. No fractional warrants will be issued upon separation of the SVII Units and only whole warrants will trade. If, upon exercise of the warrants, a holder would be entitled to receive a fractional interest in a share, New Eagle will, upon exercise, round down to the nearest whole number the number of shares of Common Stock to be issued to the warrant holder.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New Eagle will agree that, subject to applicable law, any action, proceeding or claim against New Eagle arising out of or relating in any way to the New Eagle Public Warrant Agreement, including under the Securities Act, will be brought and enforced in the courts of the State of New York or the United States District Court for the Southern District of New York, and New Eagle irrevocably submits to such jurisdiction, which jurisdiction will be the exclusive forum for any such action, proceeding or claim. See “</w:t>
      </w:r>
      <w:r>
        <w:rPr>
          <w:rFonts w:ascii="Times New Roman;Times;serif" w:hAnsi="Times New Roman;Times;serif"/>
          <w:b w:val="false"/>
          <w:i/>
          <w:caps w:val="false"/>
          <w:smallCaps w:val="false"/>
          <w:color w:val="000000"/>
          <w:spacing w:val="4"/>
          <w:sz w:val="20"/>
        </w:rPr>
        <w:t xml:space="preserve">Risk Factors — Risks Related to Ownership of New Eagle Securities — The Public Warrant Agreement (or, following the Transaction, the New Eagle Public Warrant Agreement) and the Rights Agreement designate the courts of the State of New York located in the County of New York or the United States District Court for the Southern District of New York as the sole and exclusive forum for certain types of actions and proceedings that may be initiated by holders of SVII Public Warrants and SVII Rights (and following the Transaction, holders of Public Warrants), which could limit the ability of warrant holders or rights holders to obtain a favorable judicial forum for disputes with our company.” </w:t>
      </w:r>
      <w:r>
        <w:rPr>
          <w:rFonts w:ascii="Times New Roman;Times;serif" w:hAnsi="Times New Roman;Times;serif"/>
          <w:b w:val="false"/>
          <w:i w:val="false"/>
          <w:caps w:val="false"/>
          <w:smallCaps w:val="false"/>
          <w:color w:val="000000"/>
          <w:spacing w:val="4"/>
          <w:sz w:val="20"/>
        </w:rPr>
        <w:t xml:space="preserve">This provision applies to claims under the Securities Act but does not apply to claims under the Exchange Act or any claim for which the federal district courts of the United States of America are the sole and exclusive forum.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Private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currently outstanding an aggregate of 13,350,000 Private Warrants (of which 6,350,000 will be forfeited by the Sponsor in connection with the Closing pursuant to the Sponsor Support Agreement), which, following the consummation of the Transaction, will entitle the holder to acquire Common Stock. The Private Warrants (including the Common Stock issuable upon exercise of the Private Warrants) will not be transferable, assignable or salable until 30 days after the completion of the Transaction (except pursuant to limited exceptions) and they will not be redeemable by New Eagle. The Private Warrants will expire at 5:00 p.m., New York City time, on the fifth anniversary of the completion of the Transaction, or earlier upon liquidation. In addition, the Private Warrants purchased by the Sponsor will not be exercisable more than five years from October 12, 2022 (the effective date of the registration statement of which the IPO Prospectus forms a part), in accordance with FINRA Rule 5110(g)(8), as long as the Sponsor or any of its related persons beneficially own such Private Warrants. The Private Warrants will be non-redeemable and will be exercisable on a cashless basis.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holders of the Private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multiplied by the excess of the “10-day average closing price” as of the date prior to the date on which notice of exercise is sent or given to the warrant agent, less the warrant exercise price by (y) the 10-day average closing price. The “10-day average closing price” means, as of any date, the average last reported sale price of the Common Stock as reported during the 10 trading day period ending on the trading day prior to such date. “Last reported sale price” means the last reported sale price of the Common Stock on the date prior to the date on which notice of exercise of the warrant is sent to the warrant agent. The reason that New Eagle has agreed that these warrants will be exercisable on a cashless basis so long as they are held by the Sponsor and its permitted transferees is because it is not known at this time whether they will be affiliated with New Eagle following the Transaction. If they remain affiliated with New Eagle, their ability to sell New Eagle’s securities in the open market will be significantly limited. New Eagle expects to have policies in place that restrict insiders from selling its securities except during specific periods of time. Even during such periods of time when insiders will be permitted to sell its securities, an insider cannot trade in New Eagle’s securities if he or she is in possession of material non-public information. Accordingly, unlike New Eagle public stockholders who could exercise their warrants and sell the Common Stock received upon such exercise freely in the open market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order to recoup the cost of such exercise, the insiders could be significantly restricted from selling such securities. As a result, New Eagle believes that allowing the holders to exercise such warrants on a cashless basis is appropriate.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approval of the First SVII Articles Amendment, SVII and the Sponsor entered into the Extension Promissory Note, pursuant to which the Sponsor made Contributions of $1,500,000 to the Trust Account. Such Contributions are anticipated to be converted into 1,500,000 Private Warrants in connection with the consummation of the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New Eagle PIPE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transactions contemplated by the Merger Agreement, SVII, New Eagle and Eagle entered into the PIPE Agreement with the PIPE Investor. Pursuant to the PIPE Agreement, the PIPE Investor has agreed, among other things, to purchase, at the Closing, 29,700 shares of Preferred Stock and New Eagle PIPE Warrants to purchase an aggregate of 2,500,000 shares of Common Stock, at an exercise price of $12.00 per share, subject to the same anti-dilution and other adjustments as the Preferred Stock. The New Eagle PIPE Warrants will be immediately exercisable upon issuance at the Closing and will expire five years from the date of Closing. The New Eagle PIPE Warrants include customary cash and cashless exercise provisions.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New Eagle PIPE Warrants also include an optional beneficial ownership limitation, pursuant to which a holder may elect to limit the exercisability of the New Eagle PIPE Warrants to the extent that, after giving effect to any exercise, such holder (together with its affiliates and any other persons whose beneficial ownership would be aggregated with such holder’s beneficial ownership for purposes of Section 13(d) of the Exchange Act) would beneficially own in excess of 4.9%, 9.9% or 19.9% (or such other percentage as the holder may elect) of New Eagle’s outstanding shares of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Provisions of the New Eagle Charter and the New Eagle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Eagle Charter and the New Eagle Bylaws contain provisions that may delay, defer or discourage another party from acquiring control of New Eagle. New Eagle expects that these provisions, which are summarized below, will discourage coercive takeover practices or inadequate takeover bids. These provisions are also designed to encourage persons seeking to acquire control of New Eagle to first negotiate with the Board, which may result in an improvement of the terms of any such acquisition in favor of the stockholders. However, they also give the Board the power to discourage acquisitions that some stockholders may favor.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but Unissued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New Eagle by means of a proxy contest, tender offer, merger or otherwise.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Classified Board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Eagle Charter provides that the Board will be divided into three classes of directors, with the classes to be as nearly equal in number as possible, and with each director serving a three-year term. As a result, approximately one-half of the Board will be elected each year. The classification of directors will have the effect of making it more difficult for stockholders to change the composition of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Action; Special Meetings of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Eagle Charter will provide that stockholders may not take action by written consent, but may only take action at annual or special meetings of stockholders. As a result, a holder controlling a majority of New Eagle capital stock would not be able to amend the New Eagle Bylaws or remove directors without holding a meeting of stockholders called in accordance with the New Eagle Bylaws. Further, the New Eagle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Bylaws will provide that only the chairperson of the Board, a majority of the Board or the Chief Executive Officer of New Eagle may call special meetings of stockholders, thus prohibiting a stockholder from calling a special meeting. These provisions might delay the ability of stockholders to force consideration of a proposal or for stockholders controlling a majority of New Eagle capital stock to take any action, including the removal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Advance Notice Requirements for Stockholder Proposals and Director Nominations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the New Eagle Bylaws will establish an advance notice procedure for stockholder proposals to be brought before an annual meeting or special meeting of stockholders. Generally, in order for any matter to be “properly brought” before a meeting, the matter must be (a) specified in a notice of meeting given by or at the direction of the Board, (b) if not specified in a notice of meeting, otherwise brought before the meeting by the Board or the chairperson of the meeting, or (c) otherwise properly brought before the meeting by a stockholder present in person who (1) was a stockholder at the time of giving the notice, (2) is entitled to vote at the meeting, and (3) has complied with the advance notice procedures specified in the New Eagle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(a) provide Timely Notice (as defined below) thereof in writing and in proper form to the secretary and (b) provide any updates or supplements to such notice at the times and in the forms required by the New Eagle Bylaws. To be timely, a stockholder’s notice must be delivered to, or mailed and received at, New Eagle’s principal executive offices not less than ninety (90) days nor more than one hundred twenty (120) days prior to the one-year anniversary of the preceding year’s annual meeting;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if the date of the annual meeting is more than thirty (30) days before or more than sixty (60) days after such anniversary date, notice by the stockholder to be timely must be so delivered, or mailed and received, not earlier than the close of business on the 120th day prior to such annual meeting and not later than the 90th day prior to such annual meeting or, if later, the 10th day following the day on which public disclosure of the date of such annual meeting was first made (such notice within such time periods, “Timely Notice”).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at an annual meeting or special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timely written notice in proper form to New Eagle of the stockholder’s intention to bring such business before the meeting. These provisions could have the effect of delaying stockholder actions that are favored by the holders of a majority of the outstanding voting securities until the next stockholder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Cumulative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NRS, there is no right to vote cumulatively (which allows stockholders to cast all of the votes such stockholder is entitled to for a single nominee for a board of directors rather than only being able to vote the number of shares such stockholder holds for or against each nominee) unless expressly authorized in the certificate of incorporation. The New Eagle Charter does not authorize cumulative voting.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New Eagle Charter or New Eagle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New Eagle Bylaws may be amended or repealed by a majority vote of the Board or by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of the voting power of all of the then-outstanding shares entitled to vote generally in the election of directors, voting together as a single class. The affirmative vote of a majority of the Board and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in voting power of the outstanding shares entitled to vote thereon would be required to amend certain provisions of the New Eagle Charter.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Liability and Indemnification of Officers and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Eagle Charter and New Eagle Bylaws provide indemnification and advancement of expenses for New Eagle’s directors and officers to the fullest extent permitted by the NRS, subject to certain limited exceptions. New Eagle intends to enter into indemnification agreements with each of its directors and officers. In some cases, the provisions of those indemnification agreements may be broader than the specific indemnification provisions contained under Nevada law. In addition, as permitted by Nevada law, the New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Eagle Charter and New Eagle Bylaws include provisions that eliminate the personal liability of directors for monetary damages resulting from breaches of certain fiduciary duties as a director. The effect of this provision is to restrict New Eagle’s rights and the rights of New Eagle Stockholders in derivative suits to recover monetary damages against a director for breach of fiduciary duties as a director.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be held not to be enforceable for violations of the federal securities laws of the United States.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 of Appraisal 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NRS, with certain exceptions, New Eagle Stockholders will have appraisal rights in connection with a merger or consolidation of New Eagle. Pursuant to Nevada’s dissenter’s rights statutes (NRS 92A.300 through 92A.500, inclusive), a stockholder who properly demands and perfects appraisal rights in connection with such merger or consolidation will have the right to receive payment of the “fair value” ​(as defined in NRS 92A.320) of its shares, subject to a number of limitations and procedural requirements.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Derivative 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Nevada law, any of the New Eagle Stockholders may bring an action in the company’s name to procure a judgment in its favor, also known as a derivative action, subject to the requirements of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Forum Selection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Eagle Bylaws provide that the courts of the State of Nevada will be the sole and exclusive forum for any complaint asserting any “internal corporate claims,” in all cases to the fullest extent permitted by law and subject to the court’s having personal jurisdiction over the indispensable parties named as defendants. “Internal corporate claims” means any action, suit, proceeding or claim (i) brought in the name or right or on behalf of New Eagle, (ii) for or based upon a breach of any fiduciary duty owed by any director, officer, employee or agent of New Eagle in such capacity, (iii) arising pursuant to, or to interpret, apply, enforce or determine the validity of, any provision of NRS Title 7 (including without limitation NRS Chapters 78 and 92A), the New Eagle Charter or the New Eagle Bylaws, or as to which the NRS confers jurisdiction on the courts of the State of Nevada, or (iv) asserting a claim governed by the internal affairs doctrine. 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New Eagle Bylaws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New Eagle, its officers and directors, the underwriters to any offering giving rise to such complaint, and any other professional entity whose profession gives authority to a statement made by that person or entity and who has prepared or certified any part of the documents underlying this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exclusive forum provisions may limit a stockholder’s ability to bring a claim in a judicial forum that it finds favorable for disputes with New Eagle or its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New Eagle notes that investors cannot waive compliance with the federal securities laws and the rules and regulations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the Common Stock is Continental Stock Transfer &amp; Trust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Trading Symbol and Market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Common Stock and the Public Warrants are on Nasdaq under the symbols “NUCL” and “NUCLW,”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MUFI"/>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United States federal income tax consequences of the ownership and disposition of our Common Stock. This summary deals only with Common Stock that are held as a capital asset by a non-U.S. holder (as defined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means a beneficial owner of our Common Stock (other than an entity or arrangement treated as a partnership for United States federal income tax purposes) that is not, for United States federal income tax purposes, any of the following: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United States; </w:t>
      </w:r>
      <w:r>
        <mc:AlternateContent>
          <mc:Choice Requires="wps">
            <w:drawing>
              <wp:anchor behindDoc="0" distT="6858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1"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any other entity treated as a corporation for United States federal income tax purposes) created or organized in or under the laws of the United States, any state thereof or the District of Columbia; </w:t>
      </w:r>
      <w:r>
        <mc:AlternateContent>
          <mc:Choice Requires="wps">
            <w:drawing>
              <wp:anchor behindDoc="0" distT="6731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2"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United States federal income taxation regardless of its source; or </w:t>
      </w:r>
      <w:r>
        <mc:AlternateContent>
          <mc:Choice Requires="wps">
            <w:drawing>
              <wp:anchor behindDoc="0" distT="6731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3"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 </w:t>
      </w:r>
      <w:r>
        <mc:AlternateContent>
          <mc:Choice Requires="wps">
            <w:drawing>
              <wp:anchor behindDoc="0" distT="6731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4"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upon provisions of the Code, and regulations, rulings and judicial decisions as of the date hereof. Those authorities may be changed, perhaps retroactively, so as to result in United States federal income tax consequences different from those summarized below. This summary does not address all of the United States federal income tax consequences that may be relevant to you in light of your particular circumstances, nor does it address the Medicare tax on net investment income, United States federal estate and gift taxes or the effects of any state, local or non-United States tax laws. In addition, it does not represent a detailed description of the United States federal income tax consequences applicable to you if you are subject to special treatment under the United States federal income tax laws (including if you are a United States expatriate, foreign pension fund, “controlled foreign corporation,” “passive foreign investment company” or a partnership or other pass-through entity for United States federal income tax purposes). We cannot assure you that a change in law will not alter significantly the tax considerations that we describe in this summary.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or arrangement treated as a partnership for United States federal income tax purposes) holds our Common Stock, the tax treatment of a partner generally will depend upon the status of the partner and the activities of the partnership. If you are a partnership or a partner of a partnership considering an investment in our Common Stock, you should consult your tax advisors.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are considering the purchase of our Common Stock, you should consult your own tax advisors concerning the particular United States federal income tax consequences to you of the ownership and disposition of our Common Stock, as well as the consequences to you arising under other United States federal tax laws and the laws of any other taxing jurisdiction.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event that we make a distribution of cash or other property (other than certain pro rata distributions of our stock) in respect of our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 in the adjusted tax basis of a non-U.S. holder’s Common Stock, and to the extent the amount of the distribution exceeds a non-U.S. holder’s adjusted tax basis in our Common Stock, the excess will be treated as gain from the disposition of our Common Stock (the tax treatment of which is discussed below under “— </w:t>
      </w:r>
      <w:r>
        <w:rPr>
          <w:rFonts w:ascii="Times New Roman;Times;serif" w:hAnsi="Times New Roman;Times;serif"/>
          <w:b w:val="false"/>
          <w:i/>
          <w:caps w:val="false"/>
          <w:smallCaps w:val="false"/>
          <w:color w:val="000000"/>
          <w:spacing w:val="4"/>
          <w:sz w:val="20"/>
        </w:rPr>
        <w:t>Gain on Disposition of 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paid to a non-U.S. holder generally will be subject to withholding of United States federal income tax at a 30% rate or such lower rate as may be specified by an applicable income tax treaty. However,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generally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who wishes to claim the benefit of an applicable treaty rate and avoid backup withholding, as discussed below, for dividends will be required (a) to provide the applicable withholding agent with a properly executed Internal Revenue Service (“IRS”) Form W-BEN or Form W-8BEN-E (or other applicable form) certifying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eligible for a reduced rate of United States federal withholding tax pursuant to an income tax treaty may obtain a refund of any excess amounts withheld by timely filing an appropriate claim for refund with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Gain on Disposition of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below, any gain realized by a non-U.S. holder on the sale or other disposition of our Common Stock generally will not be subject to United States federal income tax unless: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a trade or business of the non-U.S. holder in the United States (and, if required by an applicable income tax treaty, is attributable to a United States permanent establishment of the non-U.S. holder); </w:t>
      </w:r>
      <w:r>
        <mc:AlternateContent>
          <mc:Choice Requires="wps">
            <w:drawing>
              <wp:anchor behindDoc="0" distT="7239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5"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United States for 183 days or more in the taxable year of that disposition, and certain other conditions are met; or </w:t>
      </w:r>
      <w:r>
        <mc:AlternateContent>
          <mc:Choice Requires="wps">
            <w:drawing>
              <wp:anchor behindDoc="0" distT="7239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6"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 have been a “United States real property holding corporation” for United States federal income tax purposes and certain other conditions are met. </w:t>
      </w:r>
      <w:r>
        <mc:AlternateContent>
          <mc:Choice Requires="wps">
            <w:drawing>
              <wp:anchor behindDoc="0" distT="7239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7"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we are not and do not anticipate becoming a “United States real property holding corporation” for United States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92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will not be subject to backup withholding on distributions received if such holder certifies under penalty of perjury that it is a non-U.S. holder (and the payor does not have actual knowledge or reason to know that such holder is a United States person as defined under the Code), or such holder otherwise establishes an exemption.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and, depending on the circumstances, backup withholding will apply to the proceeds of a sale or other disposition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and any amounts withheld under the backup withholding rules will be allowed as a refund or a credit against a non-U.S. holder’s United States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Sections 1471 through 1474 of the Code (such Sections commonly referred to as “FATCA”), a 30% United States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of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SESE"/>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offer and sell, from time to time, any or all of the Common Stock or Warrants being offered for resale by this prospectus, which consist of: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1,710,991 shares of Common Stock issued to Aurora Energy constituting a portion of the Aggregate Merger Consideration, in connection with the acquisition of Oregon Energy, pursuant to the Aurora Option Agreement; </w:t>
      </w:r>
      <w:r>
        <mc:AlternateContent>
          <mc:Choice Requires="wps">
            <w:drawing>
              <wp:anchor behindDoc="0" distT="7366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8"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2,750,000 shares of Common Stock issued to Alyeska constituting a portion of the Aggregate Merger Consideration; </w:t>
      </w:r>
      <w:r>
        <mc:AlternateContent>
          <mc:Choice Requires="wps">
            <w:drawing>
              <wp:anchor behindDoc="0" distT="7493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9"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aggregate of 2,408,334 shares of Common Stock issued to the Sponsor that were issued in the Business Combination in exchange for SVII Founder shares that were initially issued to the Sponsor in connection with the IPO; </w:t>
      </w:r>
      <w:r>
        <mc:AlternateContent>
          <mc:Choice Requires="wps">
            <w:drawing>
              <wp:anchor behindDoc="0" distT="7493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0"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691,666 shares of Common Stock held by the NRA Investors that were issued in the Business Combination in exchange for SVII Founder Shares that were initially issued to the Sponsor in the IPO and transferred by the Sponsor to the NRA Investors in connection with the Closing; </w:t>
      </w:r>
      <w:r>
        <mc:AlternateContent>
          <mc:Choice Requires="wps">
            <w:drawing>
              <wp:anchor behindDoc="0" distT="7493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1"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120,000 shares of Common Stock held by SVII’s independent directors that were issued in the Business Combination in exchange for SVII Founder Shares that were initially issued to the Sponsor in the IPO and transferred by the Sponsor to SVII’s independent directors at the time of the IPO; </w:t>
      </w:r>
      <w:r>
        <mc:AlternateContent>
          <mc:Choice Requires="wps">
            <w:drawing>
              <wp:anchor behindDoc="0" distT="7493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2"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300,000 shares of Common Stock issued to the SVII Vendor in connection with the closing of the Business Combination, in satisfaction of $2.5 million in fees due to the service provider; </w:t>
      </w:r>
      <w:r>
        <mc:AlternateContent>
          <mc:Choice Requires="wps">
            <w:drawing>
              <wp:anchor behindDoc="0" distT="7493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3"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aggregate of 13,285,871 shares of Common Stock, which were received as Aggregate Merger Consideration in connection with the Business Combination by certain of New Eagle’s insiders, and which are subject to 180-day lock-up restrictions; </w:t>
      </w:r>
      <w:r>
        <mc:AlternateContent>
          <mc:Choice Requires="wps">
            <w:drawing>
              <wp:anchor behindDoc="0" distT="7493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4"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aggregate of 9,422,133 Private Warrants, held by the Sponsor, and 9,422,133 shares of Common Stock that may be issued upon the exercise of such Private Warrants; and </w:t>
      </w:r>
      <w:r>
        <mc:AlternateContent>
          <mc:Choice Requires="wps">
            <w:drawing>
              <wp:anchor behindDoc="0" distT="7493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5"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2,500,000 PIPE Warrants issued in the PIPE Financing, held by Alyeska. </w:t>
      </w:r>
      <w:r>
        <mc:AlternateContent>
          <mc:Choice Requires="wps">
            <w:drawing>
              <wp:anchor behindDoc="0" distT="7493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6"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from time to time offer and sell any or all of the Common Stock and Warrants set forth in the table below pursuant to this prospectus. When we refer to the “Selling Securityholders” in this prospectus, we refer to the persons listed in the table below, and the pledgees, donees, transferees, assignees, successors and other permitted transferees that hold any of the Selling Securityholders’ interest in the Common Stock or Warrants after the date of this prospectus.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provide, as of the date of this prospectus, information regarding the beneficial ownership of our Common Stock and Warrants of each Selling Securityholder, the number of shares of Common Stock or Warrants that may be sold by each Selling Securityholder under this prospectus and that each Selling Securityholder will beneficially own after this offering. The immediately following table also sets forth the percentage of Common Stock or Warrants beneficially owned by a Selling Securityholder after giving effect to the sale by the Selling Securityholder of all securities being offered hereby, based on 29,579,313 shares of Common Stock outstanding as of April 22, 2026, which gives effect to the redemption of the Public Shares, the separation of the former SVII Units, the issuance of the shares in exchange for the SVII Rights, the issuance of Aggregate Merger Consideration shares and the issuance of 300,000 shares of Common Stock to the SVII Vendor. This table also assumes that there are no issuances of equity awards that may be issued under the New Eagle Equity Plan following the Business Combination.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advise you as to whether the Selling Securityholders will in fact sell any or all of such Common Stock or Warrants. In particular, the Selling Securityholders identified below may have sold, transferred or otherwise disposed of all or a portion of their securities after the date on which they provided us with information regarding their securities in transactions exempt from registration under the Securities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provided by or on behalf of the Selling Securityholders as of April 22, 2026 concerning the Common Stock and Warrants that may be offered from time to time by each Selling Securityholder with this prospectus. For the purposes of this following table, we have assumed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that the Selling Securityholders will have sold all of the securities covered by this prospectus upon the completion of the offering. Please see the section entitled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for further information regarding the Selling Securityholders’ method of distributing these Common Stock and Warrants. </w:t>
      </w:r>
    </w:p>
    <w:tbl>
      <w:tblPr>
        <w:tblW w:w="12434" w:type="dxa"/>
        <w:jc w:val="left"/>
        <w:tblInd w:w="1393" w:type="dxa"/>
        <w:tblLayout w:type="fixed"/>
        <w:tblCellMar>
          <w:top w:w="0" w:type="dxa"/>
          <w:left w:w="0" w:type="dxa"/>
          <w:bottom w:w="43" w:type="dxa"/>
          <w:right w:w="0" w:type="dxa"/>
        </w:tblCellMar>
      </w:tblPr>
      <w:tblGrid>
        <w:gridCol w:w="1462"/>
        <w:gridCol w:w="109"/>
        <w:gridCol w:w="109"/>
        <w:gridCol w:w="109"/>
        <w:gridCol w:w="109"/>
        <w:gridCol w:w="1186"/>
        <w:gridCol w:w="109"/>
        <w:gridCol w:w="109"/>
        <w:gridCol w:w="109"/>
        <w:gridCol w:w="109"/>
        <w:gridCol w:w="109"/>
        <w:gridCol w:w="1066"/>
        <w:gridCol w:w="109"/>
        <w:gridCol w:w="109"/>
        <w:gridCol w:w="109"/>
        <w:gridCol w:w="109"/>
        <w:gridCol w:w="109"/>
        <w:gridCol w:w="1186"/>
        <w:gridCol w:w="109"/>
        <w:gridCol w:w="109"/>
        <w:gridCol w:w="109"/>
        <w:gridCol w:w="109"/>
        <w:gridCol w:w="109"/>
        <w:gridCol w:w="1066"/>
        <w:gridCol w:w="109"/>
        <w:gridCol w:w="109"/>
        <w:gridCol w:w="109"/>
        <w:gridCol w:w="158"/>
        <w:gridCol w:w="158"/>
        <w:gridCol w:w="501"/>
        <w:gridCol w:w="159"/>
        <w:gridCol w:w="109"/>
        <w:gridCol w:w="109"/>
        <w:gridCol w:w="109"/>
        <w:gridCol w:w="109"/>
        <w:gridCol w:w="346"/>
        <w:gridCol w:w="109"/>
        <w:gridCol w:w="109"/>
        <w:gridCol w:w="109"/>
        <w:gridCol w:w="152"/>
        <w:gridCol w:w="152"/>
        <w:gridCol w:w="483"/>
        <w:gridCol w:w="153"/>
        <w:gridCol w:w="109"/>
        <w:gridCol w:w="109"/>
        <w:gridCol w:w="109"/>
        <w:gridCol w:w="109"/>
        <w:gridCol w:w="346"/>
        <w:gridCol w:w="109"/>
        <w:gridCol w:w="154"/>
      </w:tblGrid>
      <w:tr>
        <w:trPr/>
        <w:tc>
          <w:tcPr>
            <w:tcW w:w="1462" w:type="dxa"/>
            <w:tcBorders>
              <w:bottom w:val="single" w:sz="2" w:space="0" w:color="000000"/>
            </w:tcBorders>
            <w:vAlign w:val="center"/>
          </w:tcPr>
          <w:p>
            <w:pPr>
              <w:pStyle w:val="TableContents"/>
              <w:bidi w:val="0"/>
              <w:spacing w:before="0" w:after="0"/>
              <w:jc w:val="left"/>
              <w:rPr>
                <w:spacing w:val="-3"/>
              </w:rPr>
            </w:pPr>
            <w:r>
              <w:rPr>
                <w:spacing w:val="-3"/>
              </w:rPr>
              <w:t xml:space="preserve">Name of Selling Securityholder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of </w:t>
            </w:r>
            <w:r>
              <w:rPr/>
              <w:br/>
            </w:r>
            <w:r>
              <w:rPr>
                <w:spacing w:val="-3"/>
              </w:rPr>
              <w:t xml:space="preserve">Common </w:t>
            </w:r>
            <w:r>
              <w:rPr/>
              <w:br/>
            </w:r>
            <w:r>
              <w:rPr>
                <w:spacing w:val="-3"/>
              </w:rPr>
              <w:t xml:space="preserve">Stock </w:t>
            </w:r>
            <w:r>
              <w:rPr/>
              <w:br/>
            </w:r>
            <w:r>
              <w:rPr>
                <w:spacing w:val="-3"/>
              </w:rPr>
              <w:t xml:space="preserve">Owned </w:t>
            </w:r>
            <w:r>
              <w:rPr/>
              <w:br/>
            </w:r>
            <w:r>
              <w:rPr>
                <w:spacing w:val="-3"/>
              </w:rPr>
              <w:t>Prior</w:t>
            </w:r>
            <w:r>
              <w:rPr/>
              <w:t xml:space="preserve"> </w:t>
              <w:br/>
            </w:r>
            <w:r>
              <w:rPr>
                <w:spacing w:val="-3"/>
              </w:rPr>
              <w:t xml:space="preserve">to the </w:t>
            </w:r>
            <w:r>
              <w:rPr/>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Warrants</w:t>
            </w:r>
            <w:r>
              <w:rPr/>
              <w:t xml:space="preserve"> </w:t>
              <w:br/>
            </w:r>
            <w:r>
              <w:rPr>
                <w:spacing w:val="-3"/>
              </w:rPr>
              <w:t>Owned</w:t>
            </w:r>
            <w:r>
              <w:rPr/>
              <w:t xml:space="preserve"> </w:t>
              <w:br/>
            </w:r>
            <w:r>
              <w:rPr>
                <w:spacing w:val="-3"/>
              </w:rPr>
              <w:t>Prior to</w:t>
            </w:r>
            <w:r>
              <w:rPr/>
              <w:t xml:space="preserve"> </w:t>
              <w:br/>
            </w:r>
            <w:r>
              <w:rPr>
                <w:spacing w:val="-3"/>
              </w:rPr>
              <w:t>the</w:t>
            </w:r>
            <w:r>
              <w:rPr/>
              <w:t xml:space="preserve"> </w:t>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Maximum</w:t>
            </w:r>
            <w:r>
              <w:rPr/>
              <w:t xml:space="preserve"> </w:t>
              <w:br/>
            </w:r>
            <w:r>
              <w:rPr>
                <w:spacing w:val="-3"/>
              </w:rPr>
              <w:t xml:space="preserve">Number of </w:t>
            </w:r>
            <w:r>
              <w:rPr/>
              <w:br/>
            </w:r>
            <w:r>
              <w:rPr>
                <w:spacing w:val="-3"/>
              </w:rPr>
              <w:t xml:space="preserve">Shares of </w:t>
            </w:r>
            <w:r>
              <w:rPr/>
              <w:br/>
            </w:r>
            <w:r>
              <w:rPr>
                <w:spacing w:val="-3"/>
              </w:rPr>
              <w:t xml:space="preserve">Common </w:t>
            </w:r>
            <w:r>
              <w:rPr/>
              <w:br/>
            </w:r>
            <w:r>
              <w:rPr>
                <w:spacing w:val="-3"/>
              </w:rPr>
              <w:t>Stock</w:t>
            </w:r>
            <w:r>
              <w:rPr/>
              <w:t xml:space="preserve"> </w:t>
              <w:br/>
            </w:r>
            <w:r>
              <w:rPr>
                <w:spacing w:val="-3"/>
              </w:rPr>
              <w:t>To Be</w:t>
            </w:r>
            <w:r>
              <w:rPr/>
              <w:t xml:space="preserve"> </w:t>
              <w:br/>
            </w:r>
            <w:r>
              <w:rPr>
                <w:spacing w:val="-3"/>
              </w:rPr>
              <w:t xml:space="preserve">Sold </w:t>
            </w:r>
            <w:r>
              <w:rPr/>
              <w:br/>
            </w:r>
            <w:r>
              <w:rPr>
                <w:spacing w:val="-3"/>
              </w:rPr>
              <w:t>Pursuant</w:t>
            </w:r>
            <w:r>
              <w:rPr/>
              <w:t xml:space="preserve"> </w:t>
              <w:br/>
            </w:r>
            <w:r>
              <w:rPr>
                <w:spacing w:val="-3"/>
              </w:rPr>
              <w:t>to this</w:t>
            </w:r>
            <w:r>
              <w:rPr/>
              <w:t xml:space="preserve"> </w:t>
              <w:br/>
            </w:r>
            <w:r>
              <w:rPr>
                <w:spacing w:val="-3"/>
              </w:rPr>
              <w:t xml:space="preserve">Prospectus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Maximum </w:t>
            </w:r>
            <w:r>
              <w:rPr/>
              <w:br/>
            </w:r>
            <w:r>
              <w:rPr>
                <w:spacing w:val="-3"/>
              </w:rPr>
              <w:t>Number</w:t>
            </w:r>
            <w:r>
              <w:rPr/>
              <w:t xml:space="preserve"> </w:t>
              <w:br/>
            </w:r>
            <w:r>
              <w:rPr>
                <w:spacing w:val="-3"/>
              </w:rPr>
              <w:t xml:space="preserve">of </w:t>
            </w:r>
            <w:r>
              <w:rPr/>
              <w:br/>
            </w:r>
            <w:r>
              <w:rPr>
                <w:spacing w:val="-3"/>
              </w:rPr>
              <w:t>Warrants</w:t>
            </w:r>
            <w:r>
              <w:rPr/>
              <w:t xml:space="preserve"> </w:t>
              <w:br/>
            </w:r>
            <w:r>
              <w:rPr>
                <w:spacing w:val="-3"/>
              </w:rPr>
              <w:t>To Be</w:t>
            </w:r>
            <w:r>
              <w:rPr/>
              <w:t xml:space="preserve"> </w:t>
              <w:br/>
            </w:r>
            <w:r>
              <w:rPr>
                <w:spacing w:val="-3"/>
              </w:rPr>
              <w:t>Sold</w:t>
            </w:r>
            <w:r>
              <w:rPr/>
              <w:t xml:space="preserve"> </w:t>
              <w:br/>
            </w:r>
            <w:r>
              <w:rPr>
                <w:spacing w:val="-3"/>
              </w:rPr>
              <w:t>Pursuant</w:t>
            </w:r>
            <w:r>
              <w:rPr/>
              <w:t xml:space="preserve"> </w:t>
              <w:br/>
            </w:r>
            <w:r>
              <w:rPr>
                <w:spacing w:val="-3"/>
              </w:rPr>
              <w:t>to this</w:t>
            </w:r>
            <w:r>
              <w:rPr/>
              <w:t xml:space="preserve"> </w:t>
              <w:br/>
            </w:r>
            <w:r>
              <w:rPr>
                <w:spacing w:val="-3"/>
              </w:rPr>
              <w:t xml:space="preserve">Prospectus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6"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of </w:t>
            </w:r>
            <w:r>
              <w:rPr/>
              <w:br/>
            </w:r>
            <w:r>
              <w:rPr>
                <w:spacing w:val="-3"/>
              </w:rPr>
              <w:t xml:space="preserve">Common </w:t>
            </w:r>
            <w:r>
              <w:rPr/>
              <w:br/>
            </w:r>
            <w:r>
              <w:rPr>
                <w:spacing w:val="-3"/>
              </w:rPr>
              <w:t>Stock</w:t>
            </w:r>
            <w:r>
              <w:rPr/>
              <w:t xml:space="preserve"> </w:t>
              <w:br/>
            </w:r>
            <w:r>
              <w:rPr>
                <w:spacing w:val="-3"/>
              </w:rPr>
              <w:t xml:space="preserve">Owned </w:t>
            </w:r>
            <w:r>
              <w:rPr/>
              <w:br/>
            </w:r>
            <w:r>
              <w:rPr>
                <w:spacing w:val="-3"/>
              </w:rPr>
              <w:t>After</w:t>
            </w:r>
            <w:r>
              <w:rPr/>
              <w:t xml:space="preserve"> </w:t>
              <w:br/>
            </w:r>
            <w:r>
              <w:rPr>
                <w:spacing w:val="-3"/>
              </w:rPr>
              <w:t xml:space="preserve">the </w:t>
            </w:r>
            <w:r>
              <w:rPr/>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lineRule="atLeast" w:line="142" w:before="0" w:after="0"/>
              <w:jc w:val="center"/>
              <w:rPr/>
            </w:pP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0"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Warrants</w:t>
            </w:r>
            <w:r>
              <w:rPr/>
              <w:t xml:space="preserve"> </w:t>
              <w:br/>
            </w:r>
            <w:r>
              <w:rPr>
                <w:spacing w:val="-3"/>
              </w:rPr>
              <w:t>Owned</w:t>
            </w:r>
            <w:r>
              <w:rPr/>
              <w:t xml:space="preserve"> </w:t>
              <w:br/>
            </w:r>
            <w:r>
              <w:rPr>
                <w:spacing w:val="-3"/>
              </w:rPr>
              <w:t>After the</w:t>
            </w:r>
            <w:r>
              <w:rPr/>
              <w:t xml:space="preserve"> </w:t>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Alyeska Master Fund, L.P.</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2,750,000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2,750,000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jc w:val="left"/>
              <w:rPr/>
            </w:pPr>
            <w:r>
              <w:rPr>
                <w:spacing w:val="4"/>
              </w:rPr>
              <w:t>Aurora Energy Metals Ltd.</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1,710,991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1,710,991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Balvinder Parhar</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2,028,671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2,028,671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ind w:left="200" w:right="0" w:hanging="200"/>
              <w:jc w:val="left"/>
              <w:rPr/>
            </w:pPr>
            <w:r>
              <w:rPr>
                <w:spacing w:val="4"/>
              </w:rPr>
              <w:t>Blue Bird Capital Enterprises LLC</w:t>
            </w:r>
            <w:r>
              <w:rPr>
                <w:spacing w:val="3"/>
                <w:szCs w:val="13"/>
              </w:rPr>
              <w:t>﻿</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6,175,031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6,175,031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Camac Fund, LP</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166,666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166,666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ind w:left="200" w:right="0" w:hanging="200"/>
              <w:jc w:val="left"/>
              <w:rPr/>
            </w:pPr>
            <w:r>
              <w:rPr>
                <w:spacing w:val="4"/>
              </w:rPr>
              <w:t>Cohen &amp; Company Securities, LLC</w:t>
            </w:r>
            <w:r>
              <w:rPr>
                <w:spacing w:val="3"/>
                <w:szCs w:val="13"/>
              </w:rPr>
              <w:t>﻿</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David Buzby</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jc w:val="left"/>
              <w:rPr/>
            </w:pPr>
            <w:r>
              <w:rPr>
                <w:spacing w:val="4"/>
              </w:rPr>
              <w:t>Fifth Lane Partners Fund LP</w:t>
            </w:r>
            <w:r>
              <w:rPr>
                <w:spacing w:val="3"/>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Funicular Funds, LP</w:t>
            </w:r>
            <w:r>
              <w:rPr>
                <w:spacing w:val="3"/>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141,667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141,667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jc w:val="left"/>
              <w:rPr/>
            </w:pPr>
            <w:r>
              <w:rPr>
                <w:spacing w:val="4"/>
              </w:rPr>
              <w:t>James Lapp</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16,667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16,667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SVK Metrix Inc.</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629,587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629,587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jc w:val="left"/>
              <w:rPr/>
            </w:pPr>
            <w:r>
              <w:rPr>
                <w:spacing w:val="4"/>
              </w:rPr>
              <w:t>Manavdeep Mukhija</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314,793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314,793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Naranjan Parhar</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2,028,671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2,028,671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ind w:left="200" w:right="0" w:hanging="200"/>
              <w:jc w:val="left"/>
              <w:rPr/>
            </w:pPr>
            <w:r>
              <w:rPr>
                <w:spacing w:val="4"/>
              </w:rPr>
              <w:t>Polar Multi-Strategy Master Fund</w:t>
            </w:r>
            <w:r>
              <w:rPr>
                <w:spacing w:val="3"/>
                <w:szCs w:val="13"/>
              </w:rPr>
              <w:t>﻿</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Richard Thompson</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jc w:val="left"/>
              <w:rPr/>
            </w:pPr>
            <w:r>
              <w:rPr>
                <w:spacing w:val="4"/>
              </w:rPr>
              <w:t>RK Trading I LLC</w:t>
            </w:r>
            <w:r>
              <w:rPr>
                <w:spacing w:val="3"/>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66,666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66,666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Sharon Youngblood</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ind w:left="200" w:right="0" w:hanging="200"/>
              <w:jc w:val="left"/>
              <w:rPr/>
            </w:pPr>
            <w:r>
              <w:rPr>
                <w:spacing w:val="4"/>
              </w:rPr>
              <w:t>Spring Valley Acquisition Sponsor II, LLC</w:t>
            </w:r>
            <w:r>
              <w:rPr>
                <w:spacing w:val="3"/>
                <w:szCs w:val="13"/>
              </w:rPr>
              <w:t>﻿</w:t>
            </w:r>
            <w:r>
              <w:rPr>
                <w:spacing w:val="3"/>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11,830,467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9,422,133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11,830,467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9,422,133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Steven Parhar</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2,109,118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2,109,118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72"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beneficial ownership after this offering is calculated based on 29,579,313 shares of Common Stock outstanding as of the date of this prospectus. Unless otherwise indicated, we believe that all persons named in the table have sole voting and investment power with respect to all shares beneficially owned by them. </w:t>
      </w:r>
      <w:r>
        <mc:AlternateContent>
          <mc:Choice Requires="wps">
            <w:drawing>
              <wp:anchor behindDoc="0" distT="109220" distB="0" distL="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267"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6pt;mso-wrap-distance-bottom:0pt;margin-top:8.6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w:t>
      </w:r>
      <w:r>
        <mc:AlternateContent>
          <mc:Choice Requires="wps">
            <w:drawing>
              <wp:anchor behindDoc="0" distT="58420" distB="0" distL="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268" name="Frame2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Aidan Platel is the Managing Director of Aurora Energy Metals Ltd and has voting and investment control over the shares held by Aurora Energy Metals Ltd.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9690" distB="0" distL="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69" name="Frame2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individual was an initial stockholder of Eagle. </w:t>
      </w:r>
      <w:r>
        <mc:AlternateContent>
          <mc:Choice Requires="wps">
            <w:drawing>
              <wp:anchor behindDoc="0" distT="59690" distB="0" distL="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right"/>
                <wp:docPr id="270" name="Frame2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Justus Parmar is the Manager of Blue Bird Capital Enterprises LLC and has voting and investment control over the shares held by Blue Bird Capital Enterprises LLC. </w:t>
      </w:r>
      <w:r>
        <mc:AlternateContent>
          <mc:Choice Requires="wps">
            <w:drawing>
              <wp:anchor behindDoc="0" distT="59690" distB="0" distL="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right"/>
                <wp:docPr id="271" name="Frame2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4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Camac Capital, LLC is the general partner of Camac Fund, LP and has the right to act on its behalf. Eric Shahinian is the manager of Camac Capital, LLC and can act on its behalf. Camac Fund, LP is an NRA Investor. </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254000" cy="350520"/>
                <wp:effectExtent l="0" t="0" r="0" b="0"/>
                <wp:wrapSquare wrapText="right"/>
                <wp:docPr id="272" name="Frame2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Jerry Serowik, Head of the Cohen &amp; Company Capital Markets division of Cohen &amp; Company Securities, LLC, may be deemed a beneficial owner of securities held by Cohen &amp; Company Securities, LLC. </w:t>
      </w:r>
      <w:r>
        <mc:AlternateContent>
          <mc:Choice Requires="wps">
            <w:drawing>
              <wp:anchor behindDoc="0" distT="50800" distB="0" distL="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73"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individual is a former independent director of SVII. </w:t>
      </w:r>
      <w:r>
        <mc:AlternateContent>
          <mc:Choice Requires="wps">
            <w:drawing>
              <wp:anchor behindDoc="0" distT="50800" distB="0" distL="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right"/>
                <wp:docPr id="274" name="Frame2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individual is an NRA Investor. Cavan Copeland, the Managing Member of Fifth Lane GP, LP, the General Partner of Fifth Lane Partners Fund LP, has voting and investment control of the shares held by the Fifth Lane Partners Fund LP and may be deemed to be the beneficial owner of such shares. Mr. Copelan, however, disclaims any beneficial ownership of the shares held by Fifth Lane Partners Fund LP. </w:t>
      </w:r>
      <w:r>
        <mc:AlternateContent>
          <mc:Choice Requires="wps">
            <w:drawing>
              <wp:anchor behindDoc="0" distT="50800" distB="0" distL="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right"/>
                <wp:docPr id="275" name="Frame2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individual is an NRA Investor. The general partner of Funicular Funds, LP is Cable Car Capital, LP and Jacob Ma-Weaver, is the managing member and may be deemed a beneficial owner of securities held by Funicular Funds, LP. </w:t>
      </w:r>
      <w:r>
        <mc:AlternateContent>
          <mc:Choice Requires="wps">
            <w:drawing>
              <wp:anchor behindDoc="0" distT="50800" distB="0" distL="0" distR="0" simplePos="0" locked="0" layoutInCell="1" allowOverlap="1" relativeHeight="280">
                <wp:simplePos x="0" y="0"/>
                <wp:positionH relativeFrom="column">
                  <wp:align>left</wp:align>
                </wp:positionH>
                <wp:positionV relativeFrom="line">
                  <wp:align>top</wp:align>
                </wp:positionV>
                <wp:extent cx="254000" cy="525780"/>
                <wp:effectExtent l="0" t="0" r="0" b="0"/>
                <wp:wrapSquare wrapText="right"/>
                <wp:docPr id="276" name="Frame27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individual is an NRA Investor. </w:t>
      </w:r>
      <w:r>
        <mc:AlternateContent>
          <mc:Choice Requires="wps">
            <w:drawing>
              <wp:anchor behindDoc="0" distT="50800" distB="0" distL="0" distR="0" simplePos="0" locked="0" layoutInCell="1" allowOverlap="1" relativeHeight="281">
                <wp:simplePos x="0" y="0"/>
                <wp:positionH relativeFrom="column">
                  <wp:align>left</wp:align>
                </wp:positionH>
                <wp:positionV relativeFrom="line">
                  <wp:align>top</wp:align>
                </wp:positionV>
                <wp:extent cx="254000" cy="525780"/>
                <wp:effectExtent l="0" t="0" r="0" b="0"/>
                <wp:wrapSquare wrapText="right"/>
                <wp:docPr id="277" name="Frame27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are owned by SVK Metrix Inc., an entity owned by Kuljit Basi. Mr. Basi has voting and investment control over the shares held by SVK Metrix Inc. Mr. Basi is a member of the Board. </w:t>
      </w:r>
      <w:r>
        <mc:AlternateContent>
          <mc:Choice Requires="wps">
            <w:drawing>
              <wp:anchor behindDoc="0" distT="50800" distB="0" distL="0" distR="0" simplePos="0" locked="0" layoutInCell="1" allowOverlap="1" relativeHeight="282">
                <wp:simplePos x="0" y="0"/>
                <wp:positionH relativeFrom="column">
                  <wp:align>left</wp:align>
                </wp:positionH>
                <wp:positionV relativeFrom="line">
                  <wp:align>top</wp:align>
                </wp:positionV>
                <wp:extent cx="254000" cy="525780"/>
                <wp:effectExtent l="0" t="0" r="0" b="0"/>
                <wp:wrapSquare wrapText="right"/>
                <wp:docPr id="278" name="Frame2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Manavdeep Mukhija is our Chief Executive Officer and Chairman of the Board. </w:t>
      </w:r>
      <w:r>
        <mc:AlternateContent>
          <mc:Choice Requires="wps">
            <w:drawing>
              <wp:anchor behindDoc="0" distT="50800" distB="0" distL="0" distR="0" simplePos="0" locked="0" layoutInCell="1" allowOverlap="1" relativeHeight="283">
                <wp:simplePos x="0" y="0"/>
                <wp:positionH relativeFrom="column">
                  <wp:align>left</wp:align>
                </wp:positionH>
                <wp:positionV relativeFrom="line">
                  <wp:align>top</wp:align>
                </wp:positionV>
                <wp:extent cx="254000" cy="525780"/>
                <wp:effectExtent l="0" t="0" r="0" b="0"/>
                <wp:wrapSquare wrapText="right"/>
                <wp:docPr id="279" name="Frame2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individual is an NRA Investor. Polar Multi-Strategy Master Fund (the “Polar Funds”) is under management by Polar Asset Management Partners Inc. (“PAMPI”). PAMPI serves as Investment Advisor to the Polar Funds and has control and discretion over the shares held by the Polar Funds. As such, PAMPI may be deemed the beneficial owner of the securities held by the Polar Funds. PAMPI disclaims any beneficial ownership of the reported securities other than to the extent of any pecuniary interest therein. The ultimate natural person who has voting and dispositive power over the securities held by the Polar Funds is Paul Sabourin, Chief Investment Officer of PAMPI. </w:t>
      </w:r>
      <w:r>
        <mc:AlternateContent>
          <mc:Choice Requires="wps">
            <w:drawing>
              <wp:anchor behindDoc="0" distT="50800" distB="0" distL="0" distR="0" simplePos="0" locked="0" layoutInCell="1" allowOverlap="1" relativeHeight="284">
                <wp:simplePos x="0" y="0"/>
                <wp:positionH relativeFrom="column">
                  <wp:align>left</wp:align>
                </wp:positionH>
                <wp:positionV relativeFrom="line">
                  <wp:align>top</wp:align>
                </wp:positionV>
                <wp:extent cx="254000" cy="525780"/>
                <wp:effectExtent l="0" t="0" r="0" b="0"/>
                <wp:wrapSquare wrapText="right"/>
                <wp:docPr id="280" name="Frame27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individual is an NRA Investor. RKCP GP LLC is the manager of RK Trading I, LLC. Jordan Abisch, Managing Partner of RKCP GP LLC has voting and investment authority over the reported securities. </w:t>
      </w:r>
      <w:r>
        <mc:AlternateContent>
          <mc:Choice Requires="wps">
            <w:drawing>
              <wp:anchor behindDoc="0" distT="50800" distB="0" distL="0" distR="0" simplePos="0" locked="0" layoutInCell="1" allowOverlap="1" relativeHeight="285">
                <wp:simplePos x="0" y="0"/>
                <wp:positionH relativeFrom="column">
                  <wp:align>left</wp:align>
                </wp:positionH>
                <wp:positionV relativeFrom="line">
                  <wp:align>top</wp:align>
                </wp:positionV>
                <wp:extent cx="254000" cy="525780"/>
                <wp:effectExtent l="0" t="0" r="0" b="0"/>
                <wp:wrapSquare wrapText="right"/>
                <wp:docPr id="281" name="Frame2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and warrants reported above are held in the name of the Sponsor. The number of shares of Common Stock listed consists of (i) 2,408,334 shares of Common Stock held directly by the Sponsor and (ii) 9,422,133 shares of Common Stock that may be issued upon exercise of the Private Warrants. The Sponsor is controlled by Pearl Energy Investment II, L.P., which is controlled by William Quinn. </w:t>
      </w:r>
      <w:r>
        <mc:AlternateContent>
          <mc:Choice Requires="wps">
            <w:drawing>
              <wp:anchor behindDoc="0" distT="50800" distB="0" distL="0" distR="0" simplePos="0" locked="0" layoutInCell="1" allowOverlap="1" relativeHeight="286">
                <wp:simplePos x="0" y="0"/>
                <wp:positionH relativeFrom="column">
                  <wp:align>left</wp:align>
                </wp:positionH>
                <wp:positionV relativeFrom="line">
                  <wp:align>top</wp:align>
                </wp:positionV>
                <wp:extent cx="254000" cy="525780"/>
                <wp:effectExtent l="0" t="0" r="0" b="0"/>
                <wp:wrapSquare wrapText="right"/>
                <wp:docPr id="282" name="Frame27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OD"/>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Selling Securityholder of the securities and any of their pledgees, assignees and successors-in- 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Securityholder may use any one or more of the following methods when selling securities: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Subscribers; </w:t>
      </w:r>
      <w:r>
        <mc:AlternateContent>
          <mc:Choice Requires="wps">
            <w:drawing>
              <wp:anchor behindDoc="0" distT="7493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3"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the securities as agent but may position and resell a portion of the block as principal to facilitate the transaction; </w:t>
      </w:r>
      <w:r>
        <mc:AlternateContent>
          <mc:Choice Requires="wps">
            <w:drawing>
              <wp:anchor behindDoc="0" distT="7493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4"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493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5"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7493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6"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493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7"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of short sales; </w:t>
      </w:r>
      <w:r>
        <mc:AlternateContent>
          <mc:Choice Requires="wps">
            <w:drawing>
              <wp:anchor behindDoc="0" distT="7620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8"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transactions through broker-dealers that agree with the Selling Securityholders to sell a specified number of such securities at a stipulated price per security; </w:t>
      </w:r>
      <w:r>
        <mc:AlternateContent>
          <mc:Choice Requires="wps">
            <w:drawing>
              <wp:anchor behindDoc="0" distT="7620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9"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or other hedging transactions, whether through an options exchange or otherwise; </w:t>
      </w:r>
      <w:r>
        <mc:AlternateContent>
          <mc:Choice Requires="wps">
            <w:drawing>
              <wp:anchor behindDoc="0" distT="7620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0"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distribution by any Selling Securityholder or its affiliates to its members, partners, stockholders or other equityholders; </w:t>
      </w:r>
      <w:r>
        <mc:AlternateContent>
          <mc:Choice Requires="wps">
            <w:drawing>
              <wp:anchor behindDoc="0" distT="7620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1"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or </w:t>
      </w:r>
      <w:r>
        <mc:AlternateContent>
          <mc:Choice Requires="wps">
            <w:drawing>
              <wp:anchor behindDoc="0" distT="7620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2"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620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3"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also sell securities under Rule 144 or any other exemption from registration under the Securities Act, if available, rather than under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engaged by the Selling Securityholders may arrange for other brokers-dealers to participate in sales. Broker-dealers may receive commissions or discounts from the Selling Securityholders (or, if any broker-dealer acts as agent for the Subscriber of securities, from the Subscriber)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Selling Securityholder that is an entity may elect to make an in-kind distribution of securities to its members, partners, stockholders or other equityholders pursuant to the registration statement of which this prospectus is a part by delivering a prospectus with a plan of distribution. To the extent that such members, partners, stockholders or other equityholders are not affiliates of ours, such members, partners, stockholders or other equityholders would thereby receive freely tradeable securities pursuant to the distribution through a registration statement of which this prospectus forms a part. To the extent a distributee is an affiliate of ours (or to the extent otherwise required by law), we intend to file a prospectus supplement in order to permit such distributee to use this prospectus to resell the securities acquired in the distribution.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Selling Securityholders also may transfer the securities in other circumstances, in which case the donees, pledgees, transferees, or other successors-in-interest will be the selling beneficial owners for purposes of this prospectus. Upon being notified by a Selling Securityholder that a donee, pledgee, transferee or other successor-in-interest intends to sell our securities, we will, to the extent required by applicable securities laws, promptly file a supplement to this prospectus to name specifically such person as a Selling Securityholder.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the securities or interests therein, the Selling Securityholders may enter into hedging transactions with broker-dealers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EXP"/>
      <w:bookmarkEnd w:id="24"/>
      <w:r>
        <w:rPr>
          <w:rFonts w:ascii="calibri;arial;sans-serif" w:hAnsi="calibri;arial;sans-serif"/>
          <w:b w:val="false"/>
          <w:i w:val="false"/>
          <w:caps w:val="false"/>
          <w:smallCaps w:val="false"/>
          <w:color w:val="000000"/>
          <w:sz w:val="16"/>
        </w:rPr>
        <w:t>​</w:t>
      </w:r>
      <w:bookmarkStart w:id="25" w:name="tLEMA"/>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the Company that it does not have any written or oral agreement or understanding, directly or indirectly, with any person to distribute the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pay certain fees and expenses incurred incident to the registration of the securities. The Company has agreed to indemnify the Selling Securityholders against certain losses, claims, damages and liabilities, including liabilities under the Securities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by the Selling Securityholders or any other person. We will make copies of this prospectus available to the Selling Securityholders and have informed them of the need to deliver a copy of this prospectus to each Subscriber at or prior to the time of the sale (including by compliance with Rule 172 under the Securities Act).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Eagle Energy Metals Corp. as of November 30, 2025 and 2024, and for the year ended November 30, 2025 and for the period from December 14, 2023 (inception) through November 30, 2024, included in this prospectus have been audited by Adeptus Partners, LLC, independent registered public accounting firm, as set forth in their report thereon, which includes an explanatory paragraph as to Eagle Energy Metals Corp.’s ability to continue as a going concern, appearing elsewhere in this prospectus, and are included in reliance upon such report given on the authority of such firm as experts in accounting and auditing.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Oregon Energy LLC as of June 30, 2025 and 2024, and for each of the two years in the period ended June 30, 2025, included in this prospectus have been audited by Adeptus Partners, LLC, independent registered public accounting firm, as set forth in their report thereon, which includes an explanatory paragraph as to Oregon Energy LLC’s ability to continue as a going concern, appearing elsewhere in this prospectus, and are included in reliance upon such report given on the authority of such firm as experts in accounting and auditing.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technical and scientific information contained herein relating to the Aurora Uranium Project was derived from the S-K 1300 Report prepared by, and has been incorporated by reference upon the authority of BBA USA Inc. is a qualified person with respect to the matters covered by such report and in giving such reports, and as of the date of this prospectus, does not own any shares of Common Stock.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by this prospectus has been passed upon for us by Nelson Mullins Riley &amp; Scarborough LLP, Washington, DC.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WYCF"/>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S-1 under the Securities Act with respect to the securities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and Warrants, we refer you to the registration statement, including the exhibits filed as a part of the registration statement.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OC2"/>
      <w:bookmarkEnd w:id="27"/>
      <w:r>
        <w:rPr>
          <w:rFonts w:ascii="calibri;arial;sans-serif" w:hAnsi="calibri;arial;sans-serif"/>
          <w:b w:val="false"/>
          <w:i w:val="false"/>
          <w:caps w:val="false"/>
          <w:smallCaps w:val="false"/>
          <w:color w:val="000000"/>
          <w:sz w:val="16"/>
        </w:rPr>
        <w:t>​</w:t>
      </w:r>
      <w:bookmarkStart w:id="28" w:name="tITFS"/>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INDEX TO FINANCIAL STATEMENTS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60"/>
        <w:gridCol w:w="109"/>
        <w:gridCol w:w="109"/>
        <w:gridCol w:w="109"/>
        <w:gridCol w:w="109"/>
        <w:gridCol w:w="452"/>
        <w:gridCol w:w="109"/>
        <w:gridCol w:w="155"/>
      </w:tblGrid>
      <w:tr>
        <w:trPr/>
        <w:tc>
          <w:tcPr>
            <w:tcW w:w="76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7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283"/>
              <w:jc w:val="left"/>
              <w:rPr/>
            </w:pPr>
            <w:r>
              <w:rPr>
                <w:spacing w:val="-4"/>
              </w:rPr>
              <w:t>EAGLE NUCLEAR ENERGY CORP.</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3"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283"/>
              <w:jc w:val="left"/>
              <w:rPr/>
            </w:pPr>
            <w:r>
              <w:rPr>
                <w:spacing w:val="-4"/>
              </w:rPr>
              <w:t>Unaudited Condensed Financial Statements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0"/>
              <w:ind w:left="200" w:right="0" w:hanging="200"/>
              <w:jc w:val="left"/>
              <w:rPr/>
            </w:pPr>
            <w:hyperlink w:anchor="tCCIB1">
              <w:r>
                <w:rPr>
                  <w:rStyle w:val="InternetLink"/>
                  <w:spacing w:val="4"/>
                </w:rPr>
                <w:t xml:space="preserve">Condensed Consolidated Interim Balance Sheets as of February 28, 2026 (unaudited) and November 30, 2025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hyperlink w:anchor="tCCIB1">
              <w:r>
                <w:rPr>
                  <w:rStyle w:val="InternetLink"/>
                  <w:spacing w:val="4"/>
                </w:rPr>
                <w:t>F-2</w:t>
              </w:r>
            </w:hyperlink>
            <w:hyperlink w:anchor="tCCIB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0"/>
              <w:ind w:left="200" w:right="0" w:hanging="200"/>
              <w:jc w:val="left"/>
              <w:rPr/>
            </w:pPr>
            <w:hyperlink w:anchor="tCCIS1">
              <w:r>
                <w:rPr>
                  <w:rStyle w:val="InternetLink"/>
                  <w:spacing w:val="4"/>
                </w:rPr>
                <w:t xml:space="preserve">Unaudited Condensed Consolidated Interim Statements of Operations for the Three Months Ended </w:t>
              </w:r>
            </w:hyperlink>
            <w:hyperlink w:anchor="tCCIS1">
              <w:r>
                <w:rPr>
                  <w:rStyle w:val="InternetLink"/>
                </w:rPr>
                <w:br/>
              </w:r>
            </w:hyperlink>
            <w:hyperlink w:anchor="tCCIS1">
              <w:r>
                <w:rPr>
                  <w:rStyle w:val="InternetLink"/>
                  <w:spacing w:val="4"/>
                </w:rPr>
                <w:t xml:space="preserve">February 28, 2026 and 2025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hyperlink w:anchor="tCCIS1">
              <w:r>
                <w:rPr>
                  <w:rStyle w:val="InternetLink"/>
                  <w:spacing w:val="4"/>
                </w:rPr>
                <w:t>F-3</w:t>
              </w:r>
            </w:hyperlink>
            <w:hyperlink w:anchor="tCCIS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0"/>
              <w:ind w:left="200" w:right="0" w:hanging="200"/>
              <w:jc w:val="left"/>
              <w:rPr/>
            </w:pPr>
            <w:hyperlink w:anchor="tCCIS">
              <w:r>
                <w:rPr>
                  <w:rStyle w:val="InternetLink"/>
                  <w:spacing w:val="4"/>
                </w:rPr>
                <w:t xml:space="preserve">Unaudited Condensed Consolidated Interim Statements of Changes in Stockholders’ Equity (Deficit) for the Three Months Ended February 28, 2026 and 2025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hyperlink w:anchor="tCCIS">
              <w:r>
                <w:rPr>
                  <w:rStyle w:val="InternetLink"/>
                  <w:spacing w:val="4"/>
                </w:rPr>
                <w:t>F-4</w:t>
              </w:r>
            </w:hyperlink>
            <w:hyperlink w:anchor="tCCI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0"/>
              <w:ind w:left="200" w:right="0" w:hanging="200"/>
              <w:jc w:val="left"/>
              <w:rPr/>
            </w:pPr>
            <w:hyperlink w:anchor="tCCIS2">
              <w:r>
                <w:rPr>
                  <w:rStyle w:val="InternetLink"/>
                  <w:spacing w:val="4"/>
                </w:rPr>
                <w:t xml:space="preserve">Unaudited Condensed Consolidated Interim Statements of Cash Flows for the Three Months Ended February 28, 2026 and 2025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hyperlink w:anchor="tCCIS2">
              <w:r>
                <w:rPr>
                  <w:rStyle w:val="InternetLink"/>
                  <w:spacing w:val="4"/>
                </w:rPr>
                <w:t>F-5</w:t>
              </w:r>
            </w:hyperlink>
            <w:hyperlink w:anchor="tCCIS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0"/>
              <w:jc w:val="left"/>
              <w:rPr/>
            </w:pPr>
            <w:hyperlink w:anchor="tNTCC">
              <w:r>
                <w:rPr>
                  <w:rStyle w:val="InternetLink"/>
                  <w:spacing w:val="4"/>
                </w:rPr>
                <w:t xml:space="preserve">Notes to Unaudited Condensed Consolidated Interim Financial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hyperlink w:anchor="tNTCC">
              <w:r>
                <w:rPr>
                  <w:rStyle w:val="InternetLink"/>
                  <w:spacing w:val="4"/>
                </w:rPr>
                <w:t>F-6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283"/>
              <w:jc w:val="left"/>
              <w:rPr/>
            </w:pPr>
            <w:r>
              <w:rPr>
                <w:spacing w:val="-4"/>
              </w:rPr>
              <w:t>EAGLE ENERGY METALS CORP.</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283"/>
              <w:jc w:val="left"/>
              <w:rPr/>
            </w:pPr>
            <w:r>
              <w:rPr>
                <w:spacing w:val="-4"/>
              </w:rPr>
              <w:t>Audited Financial Statements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0"/>
              <w:jc w:val="left"/>
              <w:rPr/>
            </w:pPr>
            <w:hyperlink w:anchor="fROIR3">
              <w:r>
                <w:rPr>
                  <w:rStyle w:val="InternetLink"/>
                  <w:spacing w:val="4"/>
                </w:rPr>
                <w:t xml:space="preserve">Report of Independent Registered Public Accounting Firm (PCAOB #3686)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hyperlink w:anchor="fROIR3">
              <w:r>
                <w:rPr>
                  <w:rStyle w:val="InternetLink"/>
                  <w:spacing w:val="4"/>
                </w:rPr>
                <w:t>F-26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0"/>
              <w:jc w:val="left"/>
              <w:rPr/>
            </w:pPr>
            <w:hyperlink w:anchor="fEEMCC">
              <w:r>
                <w:rPr>
                  <w:rStyle w:val="InternetLink"/>
                  <w:spacing w:val="4"/>
                </w:rPr>
                <w:t xml:space="preserve">Balance Sheet as of November 30, 2025 and 2024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hyperlink w:anchor="fEEMCC">
              <w:r>
                <w:rPr>
                  <w:rStyle w:val="InternetLink"/>
                  <w:spacing w:val="4"/>
                </w:rPr>
                <w:t>F-27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0"/>
              <w:ind w:left="200" w:right="0" w:hanging="200"/>
              <w:jc w:val="left"/>
              <w:rPr/>
            </w:pPr>
            <w:hyperlink w:anchor="fEEMC1">
              <w:r>
                <w:rPr>
                  <w:rStyle w:val="InternetLink"/>
                  <w:spacing w:val="4"/>
                </w:rPr>
                <w:t xml:space="preserve">Statement of Operations for the year ended November 30, 2025 and for the period from December 14, 2023 (inception) through November 30, 2024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hyperlink w:anchor="fEEMC1">
              <w:r>
                <w:rPr>
                  <w:rStyle w:val="InternetLink"/>
                  <w:spacing w:val="4"/>
                </w:rPr>
                <w:t>F-28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0"/>
              <w:ind w:left="200" w:right="0" w:hanging="200"/>
              <w:jc w:val="left"/>
              <w:rPr/>
            </w:pPr>
            <w:hyperlink w:anchor="fEEMC2">
              <w:r>
                <w:rPr>
                  <w:rStyle w:val="InternetLink"/>
                  <w:spacing w:val="4"/>
                </w:rPr>
                <w:t xml:space="preserve">Statement of Changes in Stockholders’ Deficit for the year ended November 30, 2025 and for the period from December 14, 2023 (inception) through November 30, 2024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hyperlink w:anchor="fEEMC2">
              <w:r>
                <w:rPr>
                  <w:rStyle w:val="InternetLink"/>
                  <w:spacing w:val="4"/>
                </w:rPr>
                <w:t>F-29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0"/>
              <w:ind w:left="200" w:right="0" w:hanging="200"/>
              <w:jc w:val="left"/>
              <w:rPr/>
            </w:pPr>
            <w:hyperlink w:anchor="fEEMC3">
              <w:r>
                <w:rPr>
                  <w:rStyle w:val="InternetLink"/>
                  <w:spacing w:val="4"/>
                </w:rPr>
                <w:t xml:space="preserve">Statement of Cash Flows for the year ended November 30, 2025 and for the period from December 14, 2023 (inception) through November 30, 2024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hyperlink w:anchor="fEEMC3">
              <w:r>
                <w:rPr>
                  <w:rStyle w:val="InternetLink"/>
                  <w:spacing w:val="4"/>
                </w:rPr>
                <w:t>F-30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0"/>
              <w:jc w:val="left"/>
              <w:rPr/>
            </w:pPr>
            <w:hyperlink w:anchor="fEEMC4">
              <w:r>
                <w:rPr>
                  <w:rStyle w:val="InternetLink"/>
                  <w:spacing w:val="4"/>
                </w:rPr>
                <w:t xml:space="preserve">Notes to the Financial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hyperlink w:anchor="fEEMC4">
              <w:r>
                <w:rPr>
                  <w:rStyle w:val="InternetLink"/>
                  <w:spacing w:val="4"/>
                </w:rPr>
                <w:t>F-31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283"/>
              <w:jc w:val="left"/>
              <w:rPr/>
            </w:pPr>
            <w:r>
              <w:rPr>
                <w:spacing w:val="-4"/>
              </w:rPr>
              <w:t>OREGON ENERGY LLC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283"/>
              <w:jc w:val="left"/>
              <w:rPr/>
            </w:pPr>
            <w:r>
              <w:rPr>
                <w:spacing w:val="-4"/>
              </w:rPr>
              <w:t>Audited Financial Statements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0"/>
              <w:jc w:val="left"/>
              <w:rPr/>
            </w:pPr>
            <w:hyperlink w:anchor="fROIR4">
              <w:r>
                <w:rPr>
                  <w:rStyle w:val="InternetLink"/>
                  <w:spacing w:val="4"/>
                </w:rPr>
                <w:t xml:space="preserve">Report of Independent Registered Public Accounting Firm (PCAOB #3686)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hyperlink w:anchor="fROIR4">
              <w:r>
                <w:rPr>
                  <w:rStyle w:val="InternetLink"/>
                  <w:spacing w:val="4"/>
                </w:rPr>
                <w:t>F-48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0"/>
              <w:jc w:val="left"/>
              <w:rPr/>
            </w:pPr>
            <w:hyperlink w:anchor="fOELS">
              <w:r>
                <w:rPr>
                  <w:rStyle w:val="InternetLink"/>
                  <w:spacing w:val="4"/>
                </w:rPr>
                <w:t xml:space="preserve">Balance Sheets as of June 30, 2025 and 2024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hyperlink w:anchor="fOELS">
              <w:r>
                <w:rPr>
                  <w:rStyle w:val="InternetLink"/>
                  <w:spacing w:val="4"/>
                </w:rPr>
                <w:t>F-49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0"/>
              <w:jc w:val="left"/>
              <w:rPr/>
            </w:pPr>
            <w:hyperlink w:anchor="fOELO">
              <w:r>
                <w:rPr>
                  <w:rStyle w:val="InternetLink"/>
                  <w:spacing w:val="4"/>
                </w:rPr>
                <w:t xml:space="preserve">Statements of Operations for the years ended June 30, 2025 and 2024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hyperlink w:anchor="fOELO">
              <w:r>
                <w:rPr>
                  <w:rStyle w:val="InternetLink"/>
                  <w:spacing w:val="4"/>
                </w:rPr>
                <w:t>F-50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0"/>
              <w:jc w:val="left"/>
              <w:rPr/>
            </w:pPr>
            <w:hyperlink w:anchor="fOELO1">
              <w:r>
                <w:rPr>
                  <w:rStyle w:val="InternetLink"/>
                  <w:spacing w:val="4"/>
                </w:rPr>
                <w:t xml:space="preserve">Statements of Changes in Member’s Capital for the years ended June 30, 2025 and 2024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hyperlink w:anchor="fOELO1">
              <w:r>
                <w:rPr>
                  <w:rStyle w:val="InternetLink"/>
                  <w:spacing w:val="4"/>
                </w:rPr>
                <w:t>F-51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0"/>
              <w:jc w:val="left"/>
              <w:rPr/>
            </w:pPr>
            <w:hyperlink w:anchor="fOELO2">
              <w:r>
                <w:rPr>
                  <w:rStyle w:val="InternetLink"/>
                  <w:spacing w:val="4"/>
                </w:rPr>
                <w:t xml:space="preserve">Statements of Cash Flows for the years ended June 30, 2025 and 2024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hyperlink w:anchor="fOELO2">
              <w:r>
                <w:rPr>
                  <w:rStyle w:val="InternetLink"/>
                  <w:spacing w:val="4"/>
                </w:rPr>
                <w:t>F-52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0"/>
              <w:jc w:val="left"/>
              <w:rPr/>
            </w:pPr>
            <w:hyperlink w:anchor="f1OO">
              <w:r>
                <w:rPr>
                  <w:rStyle w:val="InternetLink"/>
                  <w:spacing w:val="4"/>
                </w:rPr>
                <w:t xml:space="preserve">Notes to the Financial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hyperlink w:anchor="f1OO">
              <w:r>
                <w:rPr>
                  <w:rStyle w:val="InternetLink"/>
                  <w:spacing w:val="4"/>
                </w:rPr>
                <w:t>F-53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283"/>
              <w:jc w:val="left"/>
              <w:rPr/>
            </w:pPr>
            <w:r>
              <w:rPr>
                <w:spacing w:val="-4"/>
              </w:rPr>
              <w:t>Unaudited Condensed Financial Statements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0"/>
              <w:jc w:val="left"/>
              <w:rPr/>
            </w:pPr>
            <w:hyperlink w:anchor="fOBSO">
              <w:r>
                <w:rPr>
                  <w:rStyle w:val="InternetLink"/>
                  <w:spacing w:val="4"/>
                </w:rPr>
                <w:t xml:space="preserve">Condensed Balance Sheets as of December 31, 2025 and June 30, 2025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hyperlink w:anchor="fOBSO">
              <w:r>
                <w:rPr>
                  <w:rStyle w:val="InternetLink"/>
                  <w:spacing w:val="4"/>
                </w:rPr>
                <w:t>F-65</w:t>
              </w:r>
            </w:hyperlink>
            <w:hyperlink w:anchor="fOBS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0"/>
              <w:ind w:left="200" w:right="0" w:hanging="200"/>
              <w:jc w:val="left"/>
              <w:rPr/>
            </w:pPr>
            <w:hyperlink w:anchor="fUCSO">
              <w:r>
                <w:rPr>
                  <w:rStyle w:val="InternetLink"/>
                  <w:spacing w:val="4"/>
                </w:rPr>
                <w:t xml:space="preserve">Condensed Statements of Operations for the three and six months ended December 31, 2025 and the three and six months ended December 31, 2024 (unaudited)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hyperlink w:anchor="fUCSO">
              <w:r>
                <w:rPr>
                  <w:rStyle w:val="InternetLink"/>
                  <w:spacing w:val="4"/>
                </w:rPr>
                <w:t>F-66</w:t>
              </w:r>
            </w:hyperlink>
            <w:hyperlink w:anchor="fUCS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0"/>
              <w:ind w:left="200" w:right="0" w:hanging="200"/>
              <w:jc w:val="left"/>
              <w:rPr/>
            </w:pPr>
            <w:hyperlink w:anchor="fUCSO1">
              <w:r>
                <w:rPr>
                  <w:rStyle w:val="InternetLink"/>
                  <w:spacing w:val="4"/>
                </w:rPr>
                <w:t xml:space="preserve">Condensed Statements of Changes in Member’s Capital for the three and six months ended December 31, 2025 and the three and six months ended December 31, 2024 (unaudited)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hyperlink w:anchor="fUCSO1">
              <w:r>
                <w:rPr>
                  <w:rStyle w:val="InternetLink"/>
                  <w:spacing w:val="4"/>
                </w:rPr>
                <w:t>F-67</w:t>
              </w:r>
            </w:hyperlink>
            <w:hyperlink w:anchor="fUCS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60" w:type="dxa"/>
            <w:tcBorders/>
            <w:tcMar>
              <w:bottom w:w="0" w:type="dxa"/>
            </w:tcMar>
            <w:vAlign w:val="center"/>
          </w:tcPr>
          <w:p>
            <w:pPr>
              <w:pStyle w:val="TableContents"/>
              <w:bidi w:val="0"/>
              <w:spacing w:before="0" w:after="0"/>
              <w:ind w:left="200" w:right="0" w:hanging="200"/>
              <w:jc w:val="left"/>
              <w:rPr/>
            </w:pPr>
            <w:hyperlink w:anchor="fUCSO2">
              <w:r>
                <w:rPr>
                  <w:rStyle w:val="InternetLink"/>
                  <w:spacing w:val="4"/>
                </w:rPr>
                <w:t xml:space="preserve">Condensed Statements of Cash Flows for the six months ended December 31, 2025 and the six months ended December 31, 2024 (unaudited)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hyperlink w:anchor="fUCSO2">
              <w:r>
                <w:rPr>
                  <w:rStyle w:val="InternetLink"/>
                  <w:spacing w:val="4"/>
                </w:rPr>
                <w:t>F-68</w:t>
              </w:r>
            </w:hyperlink>
            <w:hyperlink w:anchor="fUCSO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60" w:type="dxa"/>
            <w:tcBorders/>
            <w:shd w:fill="CCEEFF" w:val="clear"/>
            <w:tcMar>
              <w:bottom w:w="0" w:type="dxa"/>
            </w:tcMar>
            <w:vAlign w:val="center"/>
          </w:tcPr>
          <w:p>
            <w:pPr>
              <w:pStyle w:val="TableContents"/>
              <w:bidi w:val="0"/>
              <w:spacing w:before="0" w:after="0"/>
              <w:jc w:val="left"/>
              <w:rPr/>
            </w:pPr>
            <w:hyperlink w:anchor="fNTTU">
              <w:r>
                <w:rPr>
                  <w:rStyle w:val="InternetLink"/>
                  <w:spacing w:val="4"/>
                </w:rPr>
                <w:t xml:space="preserve">Notes to the Unaudited Condensed Financial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hyperlink w:anchor="fNTTU">
              <w:r>
                <w:rPr>
                  <w:rStyle w:val="InternetLink"/>
                  <w:spacing w:val="4"/>
                </w:rPr>
                <w:t>F-69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CCIB1"/>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EAGLE NUCLEAR ENERGY CORP.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CONDENSED CONSOLIDATED INTERIM BALANCE SHEETS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AS OF FEBRUARY 28, 2026 AND NOVEMBER 30, 2025</w:t>
      </w:r>
      <w:r>
        <w:rPr>
          <w:rFonts w:ascii="Times New Roman;Times;serif" w:hAnsi="Times New Roman;Times;serif"/>
          <w:b/>
          <w:i w:val="false"/>
          <w:caps w:val="false"/>
          <w:smallCaps w:val="false"/>
          <w:color w:val="000000"/>
          <w:spacing w:val="4"/>
          <w:sz w:val="20"/>
        </w:rPr>
        <w:t xml:space="preserve"> </w:t>
      </w:r>
    </w:p>
    <w:tbl>
      <w:tblPr>
        <w:tblW w:w="9662" w:type="dxa"/>
        <w:jc w:val="left"/>
        <w:tblInd w:w="543" w:type="dxa"/>
        <w:tblLayout w:type="fixed"/>
        <w:tblCellMar>
          <w:top w:w="0" w:type="dxa"/>
          <w:left w:w="0" w:type="dxa"/>
          <w:bottom w:w="28" w:type="dxa"/>
          <w:right w:w="0" w:type="dxa"/>
        </w:tblCellMar>
      </w:tblPr>
      <w:tblGrid>
        <w:gridCol w:w="5764"/>
        <w:gridCol w:w="109"/>
        <w:gridCol w:w="109"/>
        <w:gridCol w:w="110"/>
        <w:gridCol w:w="229"/>
        <w:gridCol w:w="1211"/>
        <w:gridCol w:w="110"/>
        <w:gridCol w:w="109"/>
        <w:gridCol w:w="109"/>
        <w:gridCol w:w="112"/>
        <w:gridCol w:w="232"/>
        <w:gridCol w:w="1187"/>
        <w:gridCol w:w="112"/>
        <w:gridCol w:w="159"/>
      </w:tblGrid>
      <w:tr>
        <w:trPr/>
        <w:tc>
          <w:tcPr>
            <w:tcW w:w="57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February 28, 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November 30, 2025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0" w:type="dxa"/>
            <w:gridSpan w:val="4"/>
            <w:tcBorders/>
            <w:tcMar>
              <w:bottom w:w="0" w:type="dxa"/>
            </w:tcMar>
            <w:vAlign w:val="center"/>
          </w:tcPr>
          <w:p>
            <w:pPr>
              <w:pStyle w:val="TableContents"/>
              <w:bidi w:val="0"/>
              <w:spacing w:before="0" w:after="0"/>
              <w:jc w:val="center"/>
              <w:rPr>
                <w:spacing w:val="-3"/>
              </w:rPr>
            </w:pPr>
            <w:r>
              <w:rPr>
                <w:spacing w:val="-3"/>
              </w:rPr>
              <w:t xml:space="preserve">(Unaudited)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3" w:type="dxa"/>
            <w:gridSpan w:val="4"/>
            <w:tcBorders/>
            <w:tcMar>
              <w:bottom w:w="0" w:type="dxa"/>
            </w:tcMar>
            <w:vAlign w:val="center"/>
          </w:tcPr>
          <w:p>
            <w:pPr>
              <w:pStyle w:val="TableContents"/>
              <w:bidi w:val="0"/>
              <w:spacing w:before="0" w:after="0"/>
              <w:jc w:val="center"/>
              <w:rPr>
                <w:spacing w:val="-3"/>
              </w:rPr>
            </w:pPr>
            <w:r>
              <w:rPr>
                <w:spacing w:val="-3"/>
              </w:rPr>
              <w:t xml:space="preserve">(Audited) </w:t>
            </w:r>
          </w:p>
        </w:tc>
        <w:tc>
          <w:tcPr>
            <w:tcW w:w="159"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283"/>
              <w:jc w:val="left"/>
              <w:rPr/>
            </w:pPr>
            <w:r>
              <w:rPr>
                <w:spacing w:val="-4"/>
              </w:rPr>
              <w:t>Current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11"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31,292,822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1,301,928</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bottom w:val="single" w:sz="2" w:space="0" w:color="FFFFFF"/>
            </w:tcBorders>
            <w:vAlign w:val="center"/>
          </w:tcPr>
          <w:p>
            <w:pPr>
              <w:pStyle w:val="TableContents"/>
              <w:bidi w:val="0"/>
              <w:spacing w:before="0" w:after="0"/>
              <w:jc w:val="left"/>
              <w:rPr>
                <w:spacing w:val="4"/>
              </w:rPr>
            </w:pPr>
            <w:r>
              <w:rPr>
                <w:spacing w:val="4"/>
              </w:rPr>
              <w:t xml:space="preserve">Prepaid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9" w:type="dxa"/>
            <w:tcBorders>
              <w:bottom w:val="single" w:sz="2" w:space="0" w:color="000000"/>
            </w:tcBorders>
            <w:vAlign w:val="center"/>
          </w:tcPr>
          <w:p>
            <w:pPr>
              <w:pStyle w:val="TableContents"/>
              <w:bidi w:val="0"/>
              <w:spacing w:before="0" w:after="283"/>
              <w:jc w:val="right"/>
              <w:rPr/>
            </w:pPr>
            <w:r>
              <w:rPr/>
              <w:t>​</w:t>
            </w:r>
          </w:p>
        </w:tc>
        <w:tc>
          <w:tcPr>
            <w:tcW w:w="1211" w:type="dxa"/>
            <w:tcBorders>
              <w:bottom w:val="single" w:sz="2" w:space="0" w:color="000000"/>
            </w:tcBorders>
            <w:vAlign w:val="center"/>
          </w:tcPr>
          <w:p>
            <w:pPr>
              <w:pStyle w:val="TableContents"/>
              <w:bidi w:val="0"/>
              <w:spacing w:before="0" w:after="283"/>
              <w:jc w:val="right"/>
              <w:rPr/>
            </w:pPr>
            <w:r>
              <w:rPr/>
              <w:t>209,191</w:t>
            </w:r>
          </w:p>
        </w:tc>
        <w:tc>
          <w:tcPr>
            <w:tcW w:w="1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232" w:type="dxa"/>
            <w:tcBorders>
              <w:bottom w:val="single" w:sz="2" w:space="0" w:color="000000"/>
            </w:tcBorders>
            <w:vAlign w:val="center"/>
          </w:tcPr>
          <w:p>
            <w:pPr>
              <w:pStyle w:val="TableContents"/>
              <w:bidi w:val="0"/>
              <w:spacing w:before="0" w:after="283"/>
              <w:jc w:val="right"/>
              <w:rPr/>
            </w:pPr>
            <w:r>
              <w:rPr/>
              <w:t>​</w:t>
            </w:r>
          </w:p>
        </w:tc>
        <w:tc>
          <w:tcPr>
            <w:tcW w:w="1187" w:type="dxa"/>
            <w:tcBorders>
              <w:bottom w:val="single" w:sz="2" w:space="0" w:color="000000"/>
            </w:tcBorders>
            <w:vAlign w:val="center"/>
          </w:tcPr>
          <w:p>
            <w:pPr>
              <w:pStyle w:val="TableContents"/>
              <w:bidi w:val="0"/>
              <w:spacing w:before="0" w:after="283"/>
              <w:jc w:val="right"/>
              <w:rPr/>
            </w:pPr>
            <w:r>
              <w:rPr/>
              <w:t>162,897</w:t>
            </w:r>
          </w:p>
        </w:tc>
        <w:tc>
          <w:tcPr>
            <w:tcW w:w="112"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jc w:val="left"/>
              <w:rPr>
                <w:b/>
                <w:spacing w:val="-4"/>
              </w:rPr>
            </w:pPr>
            <w:r>
              <w:rPr>
                <w:b/>
                <w:spacing w:val="-4"/>
              </w:rPr>
              <w:t xml:space="preserve">Total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31,502,013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1,464,825</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jc w:val="left"/>
              <w:rPr>
                <w:spacing w:val="4"/>
              </w:rPr>
            </w:pPr>
            <w:r>
              <w:rPr>
                <w:spacing w:val="4"/>
              </w:rPr>
              <w:t xml:space="preserve">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11" w:type="dxa"/>
            <w:tcBorders/>
            <w:tcMar>
              <w:bottom w:w="0" w:type="dxa"/>
            </w:tcMar>
            <w:vAlign w:val="center"/>
          </w:tcPr>
          <w:p>
            <w:pPr>
              <w:pStyle w:val="TableContents"/>
              <w:bidi w:val="0"/>
              <w:spacing w:before="0" w:after="283"/>
              <w:jc w:val="right"/>
              <w:rPr/>
            </w:pPr>
            <w:r>
              <w:rPr/>
              <w:t>140,960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jc w:val="left"/>
              <w:rPr>
                <w:spacing w:val="4"/>
              </w:rPr>
            </w:pPr>
            <w:r>
              <w:rPr>
                <w:spacing w:val="4"/>
              </w:rPr>
              <w:t xml:space="preserve">Deposits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71,506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71,506</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jc w:val="left"/>
              <w:rPr>
                <w:spacing w:val="4"/>
              </w:rPr>
            </w:pPr>
            <w:r>
              <w:rPr>
                <w:spacing w:val="4"/>
              </w:rPr>
              <w:t xml:space="preserve">Property, plant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11" w:type="dxa"/>
            <w:tcBorders/>
            <w:tcMar>
              <w:bottom w:w="0" w:type="dxa"/>
            </w:tcMar>
            <w:vAlign w:val="center"/>
          </w:tcPr>
          <w:p>
            <w:pPr>
              <w:pStyle w:val="TableContents"/>
              <w:bidi w:val="0"/>
              <w:spacing w:before="0" w:after="283"/>
              <w:jc w:val="right"/>
              <w:rPr/>
            </w:pPr>
            <w:r>
              <w:rPr/>
              <w:t>283,594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jc w:val="left"/>
              <w:rPr>
                <w:spacing w:val="4"/>
              </w:rPr>
            </w:pPr>
            <w:r>
              <w:rPr>
                <w:spacing w:val="4"/>
              </w:rPr>
              <w:t xml:space="preserve">Intangible asset,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75,668</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65,915</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jc w:val="left"/>
              <w:rPr>
                <w:spacing w:val="4"/>
              </w:rPr>
            </w:pPr>
            <w:r>
              <w:rPr>
                <w:spacing w:val="4"/>
              </w:rPr>
              <w:t xml:space="preserve">Mineral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11" w:type="dxa"/>
            <w:tcBorders/>
            <w:tcMar>
              <w:bottom w:w="0" w:type="dxa"/>
            </w:tcMar>
            <w:vAlign w:val="center"/>
          </w:tcPr>
          <w:p>
            <w:pPr>
              <w:pStyle w:val="TableContents"/>
              <w:bidi w:val="0"/>
              <w:spacing w:before="0" w:after="283"/>
              <w:jc w:val="right"/>
              <w:rPr/>
            </w:pPr>
            <w:r>
              <w:rPr/>
              <w:t>12,755,725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1,201,390</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76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Right of use asset – operating lease,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9" w:type="dxa"/>
            <w:tcBorders>
              <w:bottom w:val="single" w:sz="2" w:space="0" w:color="000000"/>
            </w:tcBorders>
            <w:shd w:fill="CCEEFF" w:val="clear"/>
            <w:vAlign w:val="center"/>
          </w:tcPr>
          <w:p>
            <w:pPr>
              <w:pStyle w:val="TableContents"/>
              <w:bidi w:val="0"/>
              <w:spacing w:before="0" w:after="283"/>
              <w:jc w:val="right"/>
              <w:rPr/>
            </w:pPr>
            <w:r>
              <w:rPr/>
              <w:t>​</w:t>
            </w:r>
          </w:p>
        </w:tc>
        <w:tc>
          <w:tcPr>
            <w:tcW w:w="1211" w:type="dxa"/>
            <w:tcBorders>
              <w:bottom w:val="single" w:sz="2" w:space="0" w:color="000000"/>
            </w:tcBorders>
            <w:shd w:fill="CCEEFF" w:val="clear"/>
            <w:vAlign w:val="center"/>
          </w:tcPr>
          <w:p>
            <w:pPr>
              <w:pStyle w:val="TableContents"/>
              <w:bidi w:val="0"/>
              <w:spacing w:before="0" w:after="283"/>
              <w:jc w:val="right"/>
              <w:rPr/>
            </w:pPr>
            <w:r>
              <w:rPr/>
              <w:t>736,290</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2" w:type="dxa"/>
            <w:tcBorders>
              <w:bottom w:val="single" w:sz="2" w:space="0" w:color="000000"/>
            </w:tcBorders>
            <w:shd w:fill="CCEEFF" w:val="clear"/>
            <w:vAlign w:val="center"/>
          </w:tcPr>
          <w:p>
            <w:pPr>
              <w:pStyle w:val="TableContents"/>
              <w:bidi w:val="0"/>
              <w:spacing w:before="0" w:after="283"/>
              <w:jc w:val="right"/>
              <w:rPr/>
            </w:pPr>
            <w:r>
              <w:rPr/>
              <w:t>​</w:t>
            </w:r>
          </w:p>
        </w:tc>
        <w:tc>
          <w:tcPr>
            <w:tcW w:w="1187" w:type="dxa"/>
            <w:tcBorders>
              <w:bottom w:val="single" w:sz="2" w:space="0" w:color="000000"/>
            </w:tcBorders>
            <w:shd w:fill="CCEEFF" w:val="clear"/>
            <w:vAlign w:val="center"/>
          </w:tcPr>
          <w:p>
            <w:pPr>
              <w:pStyle w:val="TableContents"/>
              <w:bidi w:val="0"/>
              <w:spacing w:before="0" w:after="283"/>
              <w:jc w:val="right"/>
              <w:rPr/>
            </w:pPr>
            <w:r>
              <w:rPr/>
              <w:t>84,326</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jc w:val="left"/>
              <w:rPr/>
            </w:pPr>
            <w:r>
              <w:rPr>
                <w:spacing w:val="-4"/>
              </w:rPr>
              <w:t>Total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bottom w:val="double" w:sz="8" w:space="0" w:color="000000"/>
            </w:tcBorders>
            <w:vAlign w:val="center"/>
          </w:tcPr>
          <w:p>
            <w:pPr>
              <w:pStyle w:val="TableContents"/>
              <w:bidi w:val="0"/>
              <w:spacing w:before="0" w:after="283"/>
              <w:jc w:val="right"/>
              <w:rPr/>
            </w:pPr>
            <w:r>
              <w:rPr/>
              <w:t>$</w:t>
            </w:r>
          </w:p>
        </w:tc>
        <w:tc>
          <w:tcPr>
            <w:tcW w:w="1211" w:type="dxa"/>
            <w:tcBorders>
              <w:bottom w:val="double" w:sz="8" w:space="0" w:color="000000"/>
            </w:tcBorders>
            <w:vAlign w:val="center"/>
          </w:tcPr>
          <w:p>
            <w:pPr>
              <w:pStyle w:val="TableContents"/>
              <w:bidi w:val="0"/>
              <w:spacing w:before="0" w:after="283"/>
              <w:jc w:val="right"/>
              <w:rPr/>
            </w:pPr>
            <w:r>
              <w:rPr/>
              <w:t>45,565,756</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bottom w:val="double" w:sz="8" w:space="0" w:color="000000"/>
            </w:tcBorders>
            <w:vAlign w:val="center"/>
          </w:tcPr>
          <w:p>
            <w:pPr>
              <w:pStyle w:val="TableContents"/>
              <w:bidi w:val="0"/>
              <w:spacing w:before="0" w:after="283"/>
              <w:jc w:val="right"/>
              <w:rPr/>
            </w:pPr>
            <w:r>
              <w:rPr/>
              <w:t>$</w:t>
            </w:r>
          </w:p>
        </w:tc>
        <w:tc>
          <w:tcPr>
            <w:tcW w:w="1187" w:type="dxa"/>
            <w:tcBorders>
              <w:bottom w:val="double" w:sz="8" w:space="0" w:color="000000"/>
            </w:tcBorders>
            <w:vAlign w:val="center"/>
          </w:tcPr>
          <w:p>
            <w:pPr>
              <w:pStyle w:val="TableContents"/>
              <w:bidi w:val="0"/>
              <w:spacing w:before="0" w:after="283"/>
              <w:jc w:val="right"/>
              <w:rPr/>
            </w:pPr>
            <w:r>
              <w:rPr/>
              <w:t>2,887,962</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283"/>
              <w:jc w:val="left"/>
              <w:rPr/>
            </w:pPr>
            <w:r>
              <w:rPr>
                <w:spacing w:val="-4"/>
              </w:rPr>
              <w:t>Liabilities, Mezzanine Equity, and Stockholders’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283"/>
              <w:jc w:val="left"/>
              <w:rPr/>
            </w:pPr>
            <w:r>
              <w:rPr>
                <w:spacing w:val="-4"/>
              </w:rPr>
              <w:t>Current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11"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jc w:val="left"/>
              <w:rPr>
                <w:spacing w:val="4"/>
              </w:rPr>
            </w:pPr>
            <w:r>
              <w:rPr>
                <w:spacing w:val="4"/>
              </w:rPr>
              <w:t xml:space="preserve">Accounts payable and accrued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564,481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530,339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jc w:val="left"/>
              <w:rPr>
                <w:spacing w:val="4"/>
              </w:rPr>
            </w:pPr>
            <w:r>
              <w:rPr>
                <w:spacing w:val="4"/>
              </w:rPr>
              <w:t xml:space="preserve">Due to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11" w:type="dxa"/>
            <w:tcBorders/>
            <w:tcMar>
              <w:bottom w:w="0" w:type="dxa"/>
            </w:tcMar>
            <w:vAlign w:val="center"/>
          </w:tcPr>
          <w:p>
            <w:pPr>
              <w:pStyle w:val="TableContents"/>
              <w:bidi w:val="0"/>
              <w:spacing w:before="0" w:after="283"/>
              <w:jc w:val="right"/>
              <w:rPr/>
            </w:pPr>
            <w:r>
              <w:rPr/>
              <w:t>65,794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280,025</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jc w:val="left"/>
              <w:rPr>
                <w:spacing w:val="4"/>
              </w:rPr>
            </w:pPr>
            <w:r>
              <w:rPr>
                <w:spacing w:val="4"/>
              </w:rPr>
              <w:t xml:space="preserve">Dividends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32,548</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bottom w:val="single" w:sz="2" w:space="0" w:color="FFFFFF"/>
            </w:tcBorders>
            <w:vAlign w:val="center"/>
          </w:tcPr>
          <w:p>
            <w:pPr>
              <w:pStyle w:val="TableContents"/>
              <w:bidi w:val="0"/>
              <w:spacing w:before="0" w:after="0"/>
              <w:jc w:val="left"/>
              <w:rPr>
                <w:spacing w:val="4"/>
              </w:rPr>
            </w:pPr>
            <w:r>
              <w:rPr>
                <w:spacing w:val="4"/>
              </w:rPr>
              <w:t xml:space="preserve">Lease liabilities – current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9" w:type="dxa"/>
            <w:tcBorders>
              <w:bottom w:val="single" w:sz="2" w:space="0" w:color="000000"/>
            </w:tcBorders>
            <w:vAlign w:val="center"/>
          </w:tcPr>
          <w:p>
            <w:pPr>
              <w:pStyle w:val="TableContents"/>
              <w:bidi w:val="0"/>
              <w:spacing w:before="0" w:after="283"/>
              <w:jc w:val="right"/>
              <w:rPr/>
            </w:pPr>
            <w:r>
              <w:rPr/>
              <w:t>​</w:t>
            </w:r>
          </w:p>
        </w:tc>
        <w:tc>
          <w:tcPr>
            <w:tcW w:w="1211" w:type="dxa"/>
            <w:tcBorders>
              <w:bottom w:val="single" w:sz="2" w:space="0" w:color="000000"/>
            </w:tcBorders>
            <w:vAlign w:val="center"/>
          </w:tcPr>
          <w:p>
            <w:pPr>
              <w:pStyle w:val="TableContents"/>
              <w:bidi w:val="0"/>
              <w:spacing w:before="0" w:after="283"/>
              <w:jc w:val="right"/>
              <w:rPr/>
            </w:pPr>
            <w:r>
              <w:rPr/>
              <w:t>135,951</w:t>
            </w:r>
          </w:p>
        </w:tc>
        <w:tc>
          <w:tcPr>
            <w:tcW w:w="1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232" w:type="dxa"/>
            <w:tcBorders>
              <w:bottom w:val="single" w:sz="2" w:space="0" w:color="000000"/>
            </w:tcBorders>
            <w:vAlign w:val="center"/>
          </w:tcPr>
          <w:p>
            <w:pPr>
              <w:pStyle w:val="TableContents"/>
              <w:bidi w:val="0"/>
              <w:spacing w:before="0" w:after="283"/>
              <w:jc w:val="right"/>
              <w:rPr/>
            </w:pPr>
            <w:r>
              <w:rPr/>
              <w:t>​</w:t>
            </w:r>
          </w:p>
        </w:tc>
        <w:tc>
          <w:tcPr>
            <w:tcW w:w="1187" w:type="dxa"/>
            <w:tcBorders>
              <w:bottom w:val="single" w:sz="2" w:space="0" w:color="000000"/>
            </w:tcBorders>
            <w:vAlign w:val="center"/>
          </w:tcPr>
          <w:p>
            <w:pPr>
              <w:pStyle w:val="TableContents"/>
              <w:bidi w:val="0"/>
              <w:spacing w:before="0" w:after="283"/>
              <w:jc w:val="right"/>
              <w:rPr/>
            </w:pPr>
            <w:r>
              <w:rPr/>
              <w:t>33,155</w:t>
            </w:r>
          </w:p>
        </w:tc>
        <w:tc>
          <w:tcPr>
            <w:tcW w:w="112"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jc w:val="left"/>
              <w:rPr>
                <w:b/>
              </w:rPr>
            </w:pPr>
            <w:r>
              <w:rPr>
                <w:b/>
                <w:spacing w:val="-4"/>
              </w:rPr>
              <w:t>Total current liabilities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798,774</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843,519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jc w:val="left"/>
              <w:rPr>
                <w:spacing w:val="4"/>
              </w:rPr>
            </w:pPr>
            <w:r>
              <w:rPr>
                <w:spacing w:val="4"/>
              </w:rPr>
              <w:t xml:space="preserve">Warrant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11" w:type="dxa"/>
            <w:tcBorders/>
            <w:tcMar>
              <w:bottom w:w="0" w:type="dxa"/>
            </w:tcMar>
            <w:vAlign w:val="center"/>
          </w:tcPr>
          <w:p>
            <w:pPr>
              <w:pStyle w:val="TableContents"/>
              <w:bidi w:val="0"/>
              <w:spacing w:before="0" w:after="283"/>
              <w:jc w:val="right"/>
              <w:rPr/>
            </w:pPr>
            <w:r>
              <w:rPr/>
              <w:t>4,174,276</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76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Lease liabilities – non-current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9" w:type="dxa"/>
            <w:tcBorders>
              <w:bottom w:val="single" w:sz="2" w:space="0" w:color="000000"/>
            </w:tcBorders>
            <w:shd w:fill="CCEEFF" w:val="clear"/>
            <w:vAlign w:val="center"/>
          </w:tcPr>
          <w:p>
            <w:pPr>
              <w:pStyle w:val="TableContents"/>
              <w:bidi w:val="0"/>
              <w:spacing w:before="0" w:after="283"/>
              <w:jc w:val="right"/>
              <w:rPr/>
            </w:pPr>
            <w:r>
              <w:rPr/>
              <w:t>​</w:t>
            </w:r>
          </w:p>
        </w:tc>
        <w:tc>
          <w:tcPr>
            <w:tcW w:w="1211" w:type="dxa"/>
            <w:tcBorders>
              <w:bottom w:val="single" w:sz="2" w:space="0" w:color="000000"/>
            </w:tcBorders>
            <w:shd w:fill="CCEEFF" w:val="clear"/>
            <w:vAlign w:val="center"/>
          </w:tcPr>
          <w:p>
            <w:pPr>
              <w:pStyle w:val="TableContents"/>
              <w:bidi w:val="0"/>
              <w:spacing w:before="0" w:after="283"/>
              <w:jc w:val="right"/>
              <w:rPr/>
            </w:pPr>
            <w:r>
              <w:rPr/>
              <w:t>631,044</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2" w:type="dxa"/>
            <w:tcBorders>
              <w:bottom w:val="single" w:sz="2" w:space="0" w:color="000000"/>
            </w:tcBorders>
            <w:shd w:fill="CCEEFF" w:val="clear"/>
            <w:vAlign w:val="center"/>
          </w:tcPr>
          <w:p>
            <w:pPr>
              <w:pStyle w:val="TableContents"/>
              <w:bidi w:val="0"/>
              <w:spacing w:before="0" w:after="283"/>
              <w:jc w:val="right"/>
              <w:rPr/>
            </w:pPr>
            <w:r>
              <w:rPr/>
              <w:t>​</w:t>
            </w:r>
          </w:p>
        </w:tc>
        <w:tc>
          <w:tcPr>
            <w:tcW w:w="1187" w:type="dxa"/>
            <w:tcBorders>
              <w:bottom w:val="single" w:sz="2" w:space="0" w:color="000000"/>
            </w:tcBorders>
            <w:shd w:fill="CCEEFF" w:val="clear"/>
            <w:vAlign w:val="center"/>
          </w:tcPr>
          <w:p>
            <w:pPr>
              <w:pStyle w:val="TableContents"/>
              <w:bidi w:val="0"/>
              <w:spacing w:before="0" w:after="283"/>
              <w:jc w:val="right"/>
              <w:rPr/>
            </w:pPr>
            <w:r>
              <w:rPr/>
              <w:t>55,086</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64" w:type="dxa"/>
            <w:tcBorders>
              <w:bottom w:val="single" w:sz="2" w:space="0" w:color="FFFFFF"/>
            </w:tcBorders>
            <w:vAlign w:val="center"/>
          </w:tcPr>
          <w:p>
            <w:pPr>
              <w:pStyle w:val="TableContents"/>
              <w:bidi w:val="0"/>
              <w:spacing w:before="0" w:after="0"/>
              <w:jc w:val="left"/>
              <w:rPr/>
            </w:pPr>
            <w:r>
              <w:rPr>
                <w:spacing w:val="-4"/>
              </w:rPr>
              <w:t>Total liabilities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9" w:type="dxa"/>
            <w:tcBorders>
              <w:bottom w:val="single" w:sz="2" w:space="0" w:color="000000"/>
            </w:tcBorders>
            <w:vAlign w:val="center"/>
          </w:tcPr>
          <w:p>
            <w:pPr>
              <w:pStyle w:val="TableContents"/>
              <w:bidi w:val="0"/>
              <w:spacing w:before="0" w:after="283"/>
              <w:jc w:val="right"/>
              <w:rPr/>
            </w:pPr>
            <w:r>
              <w:rPr/>
              <w:t>​</w:t>
            </w:r>
          </w:p>
        </w:tc>
        <w:tc>
          <w:tcPr>
            <w:tcW w:w="1211" w:type="dxa"/>
            <w:tcBorders>
              <w:bottom w:val="single" w:sz="2" w:space="0" w:color="000000"/>
            </w:tcBorders>
            <w:vAlign w:val="center"/>
          </w:tcPr>
          <w:p>
            <w:pPr>
              <w:pStyle w:val="TableContents"/>
              <w:bidi w:val="0"/>
              <w:spacing w:before="0" w:after="283"/>
              <w:jc w:val="right"/>
              <w:rPr/>
            </w:pPr>
            <w:r>
              <w:rPr/>
              <w:t>5,604,094</w:t>
            </w:r>
          </w:p>
        </w:tc>
        <w:tc>
          <w:tcPr>
            <w:tcW w:w="1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232" w:type="dxa"/>
            <w:tcBorders>
              <w:bottom w:val="single" w:sz="2" w:space="0" w:color="000000"/>
            </w:tcBorders>
            <w:vAlign w:val="center"/>
          </w:tcPr>
          <w:p>
            <w:pPr>
              <w:pStyle w:val="TableContents"/>
              <w:bidi w:val="0"/>
              <w:spacing w:before="0" w:after="283"/>
              <w:jc w:val="right"/>
              <w:rPr/>
            </w:pPr>
            <w:r>
              <w:rPr/>
              <w:t>​</w:t>
            </w:r>
          </w:p>
        </w:tc>
        <w:tc>
          <w:tcPr>
            <w:tcW w:w="1187" w:type="dxa"/>
            <w:tcBorders>
              <w:bottom w:val="single" w:sz="2" w:space="0" w:color="000000"/>
            </w:tcBorders>
            <w:vAlign w:val="center"/>
          </w:tcPr>
          <w:p>
            <w:pPr>
              <w:pStyle w:val="TableContents"/>
              <w:bidi w:val="0"/>
              <w:spacing w:before="0" w:after="283"/>
              <w:jc w:val="right"/>
              <w:rPr/>
            </w:pPr>
            <w:r>
              <w:rPr/>
              <w:t>898,605</w:t>
            </w:r>
          </w:p>
        </w:tc>
        <w:tc>
          <w:tcPr>
            <w:tcW w:w="112"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283"/>
              <w:jc w:val="left"/>
              <w:rPr/>
            </w:pPr>
            <w:r>
              <w:rPr>
                <w:spacing w:val="-4"/>
              </w:rPr>
              <w:t>Commitments and contingencies (Note 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283"/>
              <w:jc w:val="left"/>
              <w:rPr/>
            </w:pPr>
            <w:r>
              <w:rPr>
                <w:spacing w:val="-4"/>
              </w:rPr>
              <w:t>Mezzanine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11"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ind w:left="200" w:right="0" w:hanging="200"/>
              <w:jc w:val="left"/>
              <w:rPr/>
            </w:pPr>
            <w:r>
              <w:rPr>
                <w:spacing w:val="4"/>
              </w:rPr>
              <w:t>Redeemable common stock, $0.0001 par value, 300,000,000 shares authorized; none issued and outstanding as of February 28, 2026 ($0.0001 par value, 350,000,000 shares authorized; 2,750,000 issued and subject to possible redemption at $0.11 per share as of November 30, 2025)</w:t>
            </w:r>
            <w:r>
              <w:rPr>
                <w:spacing w:val="3"/>
                <w:szCs w:val="13"/>
              </w:rPr>
              <w:t>﻿</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300,000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ind w:left="200" w:right="0" w:hanging="200"/>
              <w:jc w:val="left"/>
              <w:rPr/>
            </w:pPr>
            <w:r>
              <w:rPr>
                <w:spacing w:val="4"/>
              </w:rPr>
              <w:t>Series A Cumulative Preferred Stock, redeemable, $0.0001 par value, 3,500,000 shares authorized; 29,700 shares issued and subject to possible redemption beginning February 24, 2031 at $1,000 per share plus accrued and unpaid dividends, as of February 28, 2026 ($0.0001 par value, 50,000,000 shares authorized; none as of November 30, 2025)</w:t>
            </w:r>
            <w:r>
              <w:rPr>
                <w:spacing w:val="3"/>
                <w:szCs w:val="13"/>
              </w:rPr>
              <w:t>﻿</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11" w:type="dxa"/>
            <w:tcBorders/>
            <w:tcMar>
              <w:bottom w:w="0" w:type="dxa"/>
            </w:tcMar>
            <w:vAlign w:val="center"/>
          </w:tcPr>
          <w:p>
            <w:pPr>
              <w:pStyle w:val="TableContents"/>
              <w:bidi w:val="0"/>
              <w:spacing w:before="0" w:after="283"/>
              <w:jc w:val="right"/>
              <w:rPr/>
            </w:pPr>
            <w:r>
              <w:rPr/>
              <w:t>25,534,204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283"/>
              <w:jc w:val="left"/>
              <w:rPr/>
            </w:pPr>
            <w:r>
              <w:rPr>
                <w:spacing w:val="-4"/>
              </w:rPr>
              <w:t>Stockholders’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ind w:left="200" w:right="0" w:hanging="200"/>
              <w:jc w:val="left"/>
              <w:rPr/>
            </w:pPr>
            <w:r>
              <w:rPr>
                <w:spacing w:val="4"/>
              </w:rPr>
              <w:t>Common stock, $0.0001 par value, 300,000,000 shares authorized; 29,579,313 shares issued and outstanding as of February 28, 2026 ($0.0001 par value, 350,000,000 shares authorized; 18,888,289 shares, excluding 2,750,000 shares subject to possible redemption as of November 30, 2025)</w:t>
            </w:r>
            <w:r>
              <w:rPr>
                <w:spacing w:val="3"/>
                <w:szCs w:val="13"/>
              </w:rPr>
              <w:t>﻿</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11" w:type="dxa"/>
            <w:tcBorders/>
            <w:tcMar>
              <w:bottom w:w="0" w:type="dxa"/>
            </w:tcMar>
            <w:vAlign w:val="center"/>
          </w:tcPr>
          <w:p>
            <w:pPr>
              <w:pStyle w:val="TableContents"/>
              <w:bidi w:val="0"/>
              <w:spacing w:before="0" w:after="283"/>
              <w:jc w:val="right"/>
              <w:rPr/>
            </w:pPr>
            <w:r>
              <w:rPr/>
              <w:t>2,958</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1,889</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ind w:left="200" w:right="0" w:hanging="200"/>
              <w:jc w:val="left"/>
              <w:rPr/>
            </w:pPr>
            <w:r>
              <w:rPr>
                <w:spacing w:val="4"/>
              </w:rPr>
              <w:t>Preferred stock, $0.0001 par value, 3,500,000 shares authorized; none issued and outstanding, excluding 29,700 shares subject to possible redemption as of February 28, 2026 ($0.0001 par value, 50,000,000 shares authorized; none as of November 30, 2025)</w:t>
            </w:r>
            <w:r>
              <w:rPr>
                <w:spacing w:val="3"/>
                <w:szCs w:val="13"/>
              </w:rPr>
              <w:t>﻿</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jc w:val="left"/>
              <w:rPr/>
            </w:pPr>
            <w:r>
              <w:rPr>
                <w:spacing w:val="4"/>
              </w:rPr>
              <w:t>Additional paid-in capital</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211" w:type="dxa"/>
            <w:tcBorders/>
            <w:tcMar>
              <w:bottom w:w="0" w:type="dxa"/>
            </w:tcMar>
            <w:vAlign w:val="center"/>
          </w:tcPr>
          <w:p>
            <w:pPr>
              <w:pStyle w:val="TableContents"/>
              <w:bidi w:val="0"/>
              <w:spacing w:before="0" w:after="283"/>
              <w:jc w:val="right"/>
              <w:rPr/>
            </w:pPr>
            <w:r>
              <w:rPr/>
              <w:t>22,209,619</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7,968,157</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76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Accumulated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9" w:type="dxa"/>
            <w:tcBorders>
              <w:bottom w:val="single" w:sz="2" w:space="0" w:color="000000"/>
            </w:tcBorders>
            <w:shd w:fill="CCEEFF" w:val="clear"/>
            <w:vAlign w:val="center"/>
          </w:tcPr>
          <w:p>
            <w:pPr>
              <w:pStyle w:val="TableContents"/>
              <w:bidi w:val="0"/>
              <w:spacing w:before="0" w:after="283"/>
              <w:jc w:val="right"/>
              <w:rPr/>
            </w:pPr>
            <w:r>
              <w:rPr/>
              <w:t>​</w:t>
            </w:r>
          </w:p>
        </w:tc>
        <w:tc>
          <w:tcPr>
            <w:tcW w:w="1211" w:type="dxa"/>
            <w:tcBorders>
              <w:bottom w:val="single" w:sz="2" w:space="0" w:color="000000"/>
            </w:tcBorders>
            <w:shd w:fill="CCEEFF" w:val="clear"/>
            <w:vAlign w:val="center"/>
          </w:tcPr>
          <w:p>
            <w:pPr>
              <w:pStyle w:val="TableContents"/>
              <w:bidi w:val="0"/>
              <w:spacing w:before="0" w:after="283"/>
              <w:jc w:val="right"/>
              <w:rPr/>
            </w:pPr>
            <w:r>
              <w:rPr/>
              <w:t>(7,785,119)</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2" w:type="dxa"/>
            <w:tcBorders>
              <w:bottom w:val="single" w:sz="2" w:space="0" w:color="000000"/>
            </w:tcBorders>
            <w:shd w:fill="CCEEFF" w:val="clear"/>
            <w:vAlign w:val="center"/>
          </w:tcPr>
          <w:p>
            <w:pPr>
              <w:pStyle w:val="TableContents"/>
              <w:bidi w:val="0"/>
              <w:spacing w:before="0" w:after="283"/>
              <w:jc w:val="right"/>
              <w:rPr/>
            </w:pPr>
            <w:r>
              <w:rPr/>
              <w:t>​</w:t>
            </w:r>
          </w:p>
        </w:tc>
        <w:tc>
          <w:tcPr>
            <w:tcW w:w="1187" w:type="dxa"/>
            <w:tcBorders>
              <w:bottom w:val="single" w:sz="2" w:space="0" w:color="000000"/>
            </w:tcBorders>
            <w:shd w:fill="CCEEFF" w:val="clear"/>
            <w:vAlign w:val="center"/>
          </w:tcPr>
          <w:p>
            <w:pPr>
              <w:pStyle w:val="TableContents"/>
              <w:bidi w:val="0"/>
              <w:spacing w:before="0" w:after="283"/>
              <w:jc w:val="right"/>
              <w:rPr/>
            </w:pPr>
            <w:r>
              <w:rPr/>
              <w:t>(6,280,689)</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64" w:type="dxa"/>
            <w:tcBorders>
              <w:bottom w:val="single" w:sz="2" w:space="0" w:color="FFFFFF"/>
            </w:tcBorders>
            <w:vAlign w:val="center"/>
          </w:tcPr>
          <w:p>
            <w:pPr>
              <w:pStyle w:val="TableContents"/>
              <w:bidi w:val="0"/>
              <w:spacing w:before="0" w:after="0"/>
              <w:jc w:val="left"/>
              <w:rPr/>
            </w:pPr>
            <w:r>
              <w:rPr>
                <w:spacing w:val="-4"/>
              </w:rPr>
              <w:t>Total stockholders’ equity</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9" w:type="dxa"/>
            <w:tcBorders>
              <w:bottom w:val="single" w:sz="2" w:space="0" w:color="000000"/>
            </w:tcBorders>
            <w:vAlign w:val="center"/>
          </w:tcPr>
          <w:p>
            <w:pPr>
              <w:pStyle w:val="TableContents"/>
              <w:bidi w:val="0"/>
              <w:spacing w:before="0" w:after="283"/>
              <w:jc w:val="right"/>
              <w:rPr/>
            </w:pPr>
            <w:r>
              <w:rPr/>
              <w:t>​</w:t>
            </w:r>
          </w:p>
        </w:tc>
        <w:tc>
          <w:tcPr>
            <w:tcW w:w="1211" w:type="dxa"/>
            <w:tcBorders>
              <w:bottom w:val="single" w:sz="2" w:space="0" w:color="000000"/>
            </w:tcBorders>
            <w:vAlign w:val="center"/>
          </w:tcPr>
          <w:p>
            <w:pPr>
              <w:pStyle w:val="TableContents"/>
              <w:bidi w:val="0"/>
              <w:spacing w:before="0" w:after="283"/>
              <w:jc w:val="right"/>
              <w:rPr/>
            </w:pPr>
            <w:r>
              <w:rPr/>
              <w:t>14,427,458</w:t>
            </w:r>
          </w:p>
        </w:tc>
        <w:tc>
          <w:tcPr>
            <w:tcW w:w="1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232" w:type="dxa"/>
            <w:tcBorders>
              <w:bottom w:val="single" w:sz="2" w:space="0" w:color="000000"/>
            </w:tcBorders>
            <w:vAlign w:val="center"/>
          </w:tcPr>
          <w:p>
            <w:pPr>
              <w:pStyle w:val="TableContents"/>
              <w:bidi w:val="0"/>
              <w:spacing w:before="0" w:after="283"/>
              <w:jc w:val="right"/>
              <w:rPr/>
            </w:pPr>
            <w:r>
              <w:rPr/>
              <w:t>​</w:t>
            </w:r>
          </w:p>
        </w:tc>
        <w:tc>
          <w:tcPr>
            <w:tcW w:w="1187" w:type="dxa"/>
            <w:tcBorders>
              <w:bottom w:val="single" w:sz="2" w:space="0" w:color="000000"/>
            </w:tcBorders>
            <w:vAlign w:val="center"/>
          </w:tcPr>
          <w:p>
            <w:pPr>
              <w:pStyle w:val="TableContents"/>
              <w:bidi w:val="0"/>
              <w:spacing w:before="0" w:after="283"/>
              <w:jc w:val="right"/>
              <w:rPr/>
            </w:pPr>
            <w:r>
              <w:rPr/>
              <w:t>1,689,357</w:t>
            </w:r>
          </w:p>
        </w:tc>
        <w:tc>
          <w:tcPr>
            <w:tcW w:w="112"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jc w:val="left"/>
              <w:rPr/>
            </w:pPr>
            <w:r>
              <w:rPr>
                <w:spacing w:val="-4"/>
              </w:rPr>
              <w:t>Total liabilities, mezzanine equity and stockholders’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bottom w:val="double" w:sz="8" w:space="0" w:color="000000"/>
            </w:tcBorders>
            <w:shd w:fill="CCEEFF" w:val="clear"/>
            <w:vAlign w:val="center"/>
          </w:tcPr>
          <w:p>
            <w:pPr>
              <w:pStyle w:val="TableContents"/>
              <w:bidi w:val="0"/>
              <w:spacing w:before="0" w:after="283"/>
              <w:jc w:val="right"/>
              <w:rPr/>
            </w:pPr>
            <w:r>
              <w:rPr/>
              <w:t>$</w:t>
            </w:r>
          </w:p>
        </w:tc>
        <w:tc>
          <w:tcPr>
            <w:tcW w:w="1211" w:type="dxa"/>
            <w:tcBorders>
              <w:bottom w:val="double" w:sz="8" w:space="0" w:color="000000"/>
            </w:tcBorders>
            <w:shd w:fill="CCEEFF" w:val="clear"/>
            <w:vAlign w:val="center"/>
          </w:tcPr>
          <w:p>
            <w:pPr>
              <w:pStyle w:val="TableContents"/>
              <w:bidi w:val="0"/>
              <w:spacing w:before="0" w:after="283"/>
              <w:jc w:val="right"/>
              <w:rPr/>
            </w:pPr>
            <w:r>
              <w:rPr/>
              <w:t>45,565,756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bottom w:val="double" w:sz="8" w:space="0" w:color="000000"/>
            </w:tcBorders>
            <w:shd w:fill="CCEEFF" w:val="clear"/>
            <w:vAlign w:val="center"/>
          </w:tcPr>
          <w:p>
            <w:pPr>
              <w:pStyle w:val="TableContents"/>
              <w:bidi w:val="0"/>
              <w:spacing w:before="0" w:after="283"/>
              <w:jc w:val="right"/>
              <w:rPr/>
            </w:pPr>
            <w:r>
              <w:rPr/>
              <w:t>$</w:t>
            </w:r>
          </w:p>
        </w:tc>
        <w:tc>
          <w:tcPr>
            <w:tcW w:w="1187" w:type="dxa"/>
            <w:tcBorders>
              <w:bottom w:val="double" w:sz="8" w:space="0" w:color="000000"/>
            </w:tcBorders>
            <w:shd w:fill="CCEEFF" w:val="clear"/>
            <w:vAlign w:val="center"/>
          </w:tcPr>
          <w:p>
            <w:pPr>
              <w:pStyle w:val="TableContents"/>
              <w:bidi w:val="0"/>
              <w:spacing w:before="0" w:after="283"/>
              <w:jc w:val="right"/>
              <w:rPr/>
            </w:pPr>
            <w:r>
              <w:rPr/>
              <w:t>2,887,962</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the Company’s common stock, prior to the de-SPAC (as defined in Note 1) have been retroactively restated to reflect the exchange ratio of approximately 5.8349:1 established in the de-SPAC, as described in Note 4. </w:t>
      </w:r>
      <w:r>
        <mc:AlternateContent>
          <mc:Choice Requires="wps">
            <w:drawing>
              <wp:anchor behindDoc="0" distT="101600" distB="0" distL="0" distR="0" simplePos="0" locked="0" layoutInCell="1" allowOverlap="1" relativeHeight="298">
                <wp:simplePos x="0" y="0"/>
                <wp:positionH relativeFrom="column">
                  <wp:align>left</wp:align>
                </wp:positionH>
                <wp:positionV relativeFrom="line">
                  <wp:align>top</wp:align>
                </wp:positionV>
                <wp:extent cx="254000" cy="350520"/>
                <wp:effectExtent l="0" t="0" r="0" b="0"/>
                <wp:wrapSquare wrapText="right"/>
                <wp:docPr id="294" name="Frame2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00" w:after="283"/>
        <w:ind w:left="1393"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The accompanying notes are an integral part of these unaudited condensed consolidated interim financial statements.</w:t>
      </w:r>
      <w:r>
        <w:rPr>
          <w:rFonts w:ascii="Times New Roman;Times;serif" w:hAnsi="Times New Roman;Times;serif"/>
          <w:b w:val="false"/>
          <w:i w:val="false"/>
          <w:caps w:val="false"/>
          <w:smallCaps w:val="false"/>
          <w:color w:val="000000"/>
          <w:sz w:val="18"/>
        </w:rPr>
        <w:t>​</w:t>
      </w:r>
      <w:r>
        <w:rPr>
          <w:rFonts w:ascii="Times New Roman;Times;serif" w:hAnsi="Times New Roman;Times;serif"/>
          <w:b w:val="false"/>
          <w:i w:val="false"/>
          <w:caps w:val="false"/>
          <w:smallCaps w:val="false"/>
          <w:color w:val="000000"/>
          <w:spacing w:val="4"/>
          <w:sz w:val="18"/>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CCIS1"/>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7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EAGLE NUCLEAR ENERGY CORP.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CONDENSED CONSOLIDATED INTERIM STATEMENTS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FOR THE THREE MONTHS ENDED FEBRUARY 28, 2026 AND 2025 (UNAUDITED)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590"/>
        <w:gridCol w:w="109"/>
        <w:gridCol w:w="109"/>
        <w:gridCol w:w="119"/>
        <w:gridCol w:w="248"/>
        <w:gridCol w:w="1327"/>
        <w:gridCol w:w="119"/>
        <w:gridCol w:w="109"/>
        <w:gridCol w:w="109"/>
        <w:gridCol w:w="121"/>
        <w:gridCol w:w="251"/>
        <w:gridCol w:w="1321"/>
        <w:gridCol w:w="121"/>
        <w:gridCol w:w="159"/>
      </w:tblGrid>
      <w:tr>
        <w:trPr/>
        <w:tc>
          <w:tcPr>
            <w:tcW w:w="45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For the </w:t>
            </w:r>
            <w:r>
              <w:rPr/>
              <w:br/>
            </w:r>
            <w:r>
              <w:rPr>
                <w:spacing w:val="-3"/>
              </w:rPr>
              <w:t>three months ended</w:t>
            </w:r>
            <w:r>
              <w:rPr/>
              <w:t xml:space="preserve"> </w:t>
              <w:br/>
            </w:r>
            <w:r>
              <w:rPr>
                <w:spacing w:val="-3"/>
              </w:rPr>
              <w:t xml:space="preserve">February 28, 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For the </w:t>
            </w:r>
            <w:r>
              <w:rPr/>
              <w:br/>
            </w:r>
            <w:r>
              <w:rPr>
                <w:spacing w:val="-3"/>
              </w:rPr>
              <w:t>three months ended</w:t>
            </w:r>
            <w:r>
              <w:rPr/>
              <w:t xml:space="preserve"> </w:t>
              <w:br/>
            </w:r>
            <w:r>
              <w:rPr>
                <w:spacing w:val="-3"/>
              </w:rPr>
              <w:t xml:space="preserve">February 28, 2025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590" w:type="dxa"/>
            <w:tcBorders/>
            <w:shd w:fill="CCEEFF" w:val="clear"/>
            <w:tcMar>
              <w:bottom w:w="0" w:type="dxa"/>
            </w:tcMar>
            <w:vAlign w:val="center"/>
          </w:tcPr>
          <w:p>
            <w:pPr>
              <w:pStyle w:val="TableContents"/>
              <w:bidi w:val="0"/>
              <w:spacing w:before="0" w:after="283"/>
              <w:jc w:val="left"/>
              <w:rPr/>
            </w:pPr>
            <w:r>
              <w:rPr>
                <w:spacing w:val="-4"/>
              </w:rPr>
              <w:t>Operating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1321"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0"/>
              <w:ind w:left="200" w:right="0" w:hanging="0"/>
              <w:jc w:val="left"/>
              <w:rPr>
                <w:spacing w:val="4"/>
              </w:rPr>
            </w:pPr>
            <w:r>
              <w:rPr>
                <w:spacing w:val="4"/>
              </w:rPr>
              <w:t xml:space="preserve">Bank charges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2,520</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1321" w:type="dxa"/>
            <w:tcBorders/>
            <w:tcMar>
              <w:bottom w:w="0" w:type="dxa"/>
            </w:tcMar>
            <w:vAlign w:val="center"/>
          </w:tcPr>
          <w:p>
            <w:pPr>
              <w:pStyle w:val="TableContents"/>
              <w:bidi w:val="0"/>
              <w:spacing w:before="0" w:after="283"/>
              <w:jc w:val="right"/>
              <w:rPr/>
            </w:pPr>
            <w:r>
              <w:rPr/>
              <w:t>311</w:t>
            </w:r>
          </w:p>
        </w:tc>
        <w:tc>
          <w:tcPr>
            <w:tcW w:w="12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Business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80,450</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1321"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0"/>
              <w:ind w:left="200" w:right="0" w:hanging="0"/>
              <w:jc w:val="left"/>
              <w:rPr>
                <w:spacing w:val="4"/>
              </w:rPr>
            </w:pPr>
            <w:r>
              <w:rPr>
                <w:spacing w:val="4"/>
              </w:rPr>
              <w:t xml:space="preserve">Amortization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941</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1321"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Depreciation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1,483</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1321"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0"/>
              <w:ind w:left="200" w:right="0" w:hanging="0"/>
              <w:jc w:val="left"/>
              <w:rPr>
                <w:spacing w:val="4"/>
              </w:rPr>
            </w:pPr>
            <w:r>
              <w:rPr>
                <w:spacing w:val="4"/>
              </w:rPr>
              <w:t xml:space="preserve">Exploration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227,501</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1321" w:type="dxa"/>
            <w:tcBorders/>
            <w:tcMar>
              <w:bottom w:w="0" w:type="dxa"/>
            </w:tcMar>
            <w:vAlign w:val="center"/>
          </w:tcPr>
          <w:p>
            <w:pPr>
              <w:pStyle w:val="TableContents"/>
              <w:bidi w:val="0"/>
              <w:spacing w:before="0" w:after="283"/>
              <w:jc w:val="right"/>
              <w:rPr/>
            </w:pPr>
            <w:r>
              <w:rPr/>
              <w:t>7,305</w:t>
            </w:r>
          </w:p>
        </w:tc>
        <w:tc>
          <w:tcPr>
            <w:tcW w:w="12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Office and administrative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404,676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1321" w:type="dxa"/>
            <w:tcBorders/>
            <w:shd w:fill="CCEEFF" w:val="clear"/>
            <w:tcMar>
              <w:bottom w:w="0" w:type="dxa"/>
            </w:tcMar>
            <w:vAlign w:val="center"/>
          </w:tcPr>
          <w:p>
            <w:pPr>
              <w:pStyle w:val="TableContents"/>
              <w:bidi w:val="0"/>
              <w:spacing w:before="0" w:after="283"/>
              <w:jc w:val="right"/>
              <w:rPr/>
            </w:pPr>
            <w:r>
              <w:rPr/>
              <w:t>30,730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0"/>
              <w:ind w:left="200" w:right="0" w:hanging="0"/>
              <w:jc w:val="left"/>
              <w:rPr>
                <w:spacing w:val="4"/>
              </w:rPr>
            </w:pPr>
            <w:r>
              <w:rPr>
                <w:spacing w:val="4"/>
              </w:rPr>
              <w:t xml:space="preserve">Professional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458,920</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1321" w:type="dxa"/>
            <w:tcBorders/>
            <w:tcMar>
              <w:bottom w:w="0" w:type="dxa"/>
            </w:tcMar>
            <w:vAlign w:val="center"/>
          </w:tcPr>
          <w:p>
            <w:pPr>
              <w:pStyle w:val="TableContents"/>
              <w:bidi w:val="0"/>
              <w:spacing w:before="0" w:after="283"/>
              <w:jc w:val="right"/>
              <w:rPr/>
            </w:pPr>
            <w:r>
              <w:rPr/>
              <w:t>502,913</w:t>
            </w:r>
          </w:p>
        </w:tc>
        <w:tc>
          <w:tcPr>
            <w:tcW w:w="12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Rent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72,742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1321" w:type="dxa"/>
            <w:tcBorders/>
            <w:shd w:fill="CCEEFF" w:val="clear"/>
            <w:tcMar>
              <w:bottom w:w="0" w:type="dxa"/>
            </w:tcMar>
            <w:vAlign w:val="center"/>
          </w:tcPr>
          <w:p>
            <w:pPr>
              <w:pStyle w:val="TableContents"/>
              <w:bidi w:val="0"/>
              <w:spacing w:before="0" w:after="283"/>
              <w:jc w:val="right"/>
              <w:rPr/>
            </w:pPr>
            <w:r>
              <w:rPr/>
              <w:t>26,460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0"/>
              <w:ind w:left="200" w:right="0" w:hanging="0"/>
              <w:jc w:val="left"/>
              <w:rPr>
                <w:spacing w:val="4"/>
              </w:rPr>
            </w:pPr>
            <w:r>
              <w:rPr>
                <w:spacing w:val="4"/>
              </w:rPr>
              <w:t xml:space="preserve">Investor relations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89,821</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1321"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Salaries and wages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57,941</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1321"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0"/>
              <w:ind w:left="200" w:right="0" w:hanging="0"/>
              <w:jc w:val="left"/>
              <w:rPr>
                <w:spacing w:val="4"/>
              </w:rPr>
            </w:pPr>
            <w:r>
              <w:rPr>
                <w:spacing w:val="4"/>
              </w:rPr>
              <w:t xml:space="preserve">Licensing fee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13,646</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1321"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90"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Travel and entertainment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50" w:type="dxa"/>
            </w:tcMar>
            <w:vAlign w:val="center"/>
          </w:tcPr>
          <w:p>
            <w:pPr>
              <w:pStyle w:val="TableContents"/>
              <w:bidi w:val="0"/>
              <w:spacing w:before="0" w:after="283"/>
              <w:jc w:val="right"/>
              <w:rPr/>
            </w:pPr>
            <w:r>
              <w:rPr/>
              <w:t>51,462</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1" w:type="dxa"/>
            <w:tcBorders>
              <w:bottom w:val="single" w:sz="2" w:space="0" w:color="000000"/>
            </w:tcBorders>
            <w:shd w:fill="CCEEFF" w:val="clear"/>
            <w:tcMar>
              <w:bottom w:w="50" w:type="dxa"/>
            </w:tcMar>
            <w:vAlign w:val="center"/>
          </w:tcPr>
          <w:p>
            <w:pPr>
              <w:pStyle w:val="TableContents"/>
              <w:bidi w:val="0"/>
              <w:spacing w:before="0" w:after="283"/>
              <w:jc w:val="right"/>
              <w:rPr/>
            </w:pPr>
            <w:r>
              <w:rPr/>
              <w:t>98,846</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0"/>
              <w:jc w:val="left"/>
              <w:rPr/>
            </w:pPr>
            <w:r>
              <w:rPr>
                <w:spacing w:val="-4"/>
              </w:rPr>
              <w:t>Total operating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bottom w:val="double" w:sz="8" w:space="0" w:color="000000"/>
            </w:tcBorders>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tcMar>
              <w:bottom w:w="50" w:type="dxa"/>
            </w:tcMar>
            <w:vAlign w:val="center"/>
          </w:tcPr>
          <w:p>
            <w:pPr>
              <w:pStyle w:val="TableContents"/>
              <w:bidi w:val="0"/>
              <w:spacing w:before="0" w:after="283"/>
              <w:jc w:val="right"/>
              <w:rPr/>
            </w:pPr>
            <w:r>
              <w:rPr/>
              <w:t>(1,462,103)</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bottom w:val="double" w:sz="8" w:space="0" w:color="000000"/>
            </w:tcBorders>
            <w:tcMar>
              <w:bottom w:w="50" w:type="dxa"/>
            </w:tcMar>
            <w:vAlign w:val="center"/>
          </w:tcPr>
          <w:p>
            <w:pPr>
              <w:pStyle w:val="TableContents"/>
              <w:bidi w:val="0"/>
              <w:spacing w:before="0" w:after="283"/>
              <w:jc w:val="right"/>
              <w:rPr/>
            </w:pPr>
            <w:r>
              <w:rPr/>
              <w:t>​</w:t>
            </w:r>
          </w:p>
        </w:tc>
        <w:tc>
          <w:tcPr>
            <w:tcW w:w="1321" w:type="dxa"/>
            <w:tcBorders>
              <w:bottom w:val="double" w:sz="8" w:space="0" w:color="000000"/>
            </w:tcBorders>
            <w:tcMar>
              <w:bottom w:w="50" w:type="dxa"/>
            </w:tcMar>
            <w:vAlign w:val="center"/>
          </w:tcPr>
          <w:p>
            <w:pPr>
              <w:pStyle w:val="TableContents"/>
              <w:bidi w:val="0"/>
              <w:spacing w:before="0" w:after="283"/>
              <w:jc w:val="right"/>
              <w:rPr/>
            </w:pPr>
            <w:r>
              <w:rPr/>
              <w:t>(666,565)</w:t>
            </w:r>
          </w:p>
        </w:tc>
        <w:tc>
          <w:tcPr>
            <w:tcW w:w="12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90" w:type="dxa"/>
            <w:tcBorders/>
            <w:shd w:fill="CCEEFF" w:val="clear"/>
            <w:tcMar>
              <w:bottom w:w="0" w:type="dxa"/>
            </w:tcMar>
            <w:vAlign w:val="center"/>
          </w:tcPr>
          <w:p>
            <w:pPr>
              <w:pStyle w:val="TableContents"/>
              <w:bidi w:val="0"/>
              <w:spacing w:before="0" w:after="283"/>
              <w:jc w:val="left"/>
              <w:rPr/>
            </w:pPr>
            <w:r>
              <w:rPr>
                <w:spacing w:val="-4"/>
              </w:rPr>
              <w:t>Other income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1321"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90"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Loss on foreign currency transactions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tcMar>
              <w:bottom w:w="50" w:type="dxa"/>
            </w:tcMar>
            <w:vAlign w:val="center"/>
          </w:tcPr>
          <w:p>
            <w:pPr>
              <w:pStyle w:val="TableContents"/>
              <w:bidi w:val="0"/>
              <w:spacing w:before="0" w:after="283"/>
              <w:jc w:val="right"/>
              <w:rPr/>
            </w:pPr>
            <w:r>
              <w:rPr/>
              <w:t>(9,779)</w:t>
            </w:r>
          </w:p>
        </w:tc>
        <w:tc>
          <w:tcPr>
            <w:tcW w:w="1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1" w:type="dxa"/>
            <w:tcBorders>
              <w:bottom w:val="single" w:sz="2" w:space="0" w:color="000000"/>
            </w:tcBorders>
            <w:tcMar>
              <w:bottom w:w="50" w:type="dxa"/>
            </w:tcMar>
            <w:vAlign w:val="center"/>
          </w:tcPr>
          <w:p>
            <w:pPr>
              <w:pStyle w:val="TableContents"/>
              <w:bidi w:val="0"/>
              <w:spacing w:before="0" w:after="283"/>
              <w:jc w:val="right"/>
              <w:rPr/>
            </w:pPr>
            <w:r>
              <w:rPr/>
              <w:t>​</w:t>
            </w:r>
          </w:p>
        </w:tc>
        <w:tc>
          <w:tcPr>
            <w:tcW w:w="1321" w:type="dxa"/>
            <w:tcBorders>
              <w:bottom w:val="single" w:sz="2" w:space="0" w:color="000000"/>
            </w:tcBorders>
            <w:tcMar>
              <w:bottom w:w="50" w:type="dxa"/>
            </w:tcMar>
            <w:vAlign w:val="center"/>
          </w:tcPr>
          <w:p>
            <w:pPr>
              <w:pStyle w:val="TableContents"/>
              <w:bidi w:val="0"/>
              <w:spacing w:before="0" w:after="283"/>
              <w:jc w:val="right"/>
              <w:rPr/>
            </w:pPr>
            <w:r>
              <w:rPr/>
              <w:t>(430)</w:t>
            </w:r>
          </w:p>
        </w:tc>
        <w:tc>
          <w:tcPr>
            <w:tcW w:w="121"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590"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Total other expense</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50" w:type="dxa"/>
            </w:tcMar>
            <w:vAlign w:val="center"/>
          </w:tcPr>
          <w:p>
            <w:pPr>
              <w:pStyle w:val="TableContents"/>
              <w:bidi w:val="0"/>
              <w:spacing w:before="0" w:after="283"/>
              <w:jc w:val="right"/>
              <w:rPr/>
            </w:pPr>
            <w:r>
              <w:rPr/>
              <w:t>(9,779)</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1" w:type="dxa"/>
            <w:tcBorders>
              <w:bottom w:val="single" w:sz="2" w:space="0" w:color="000000"/>
            </w:tcBorders>
            <w:shd w:fill="CCEEFF" w:val="clear"/>
            <w:tcMar>
              <w:bottom w:w="50" w:type="dxa"/>
            </w:tcMar>
            <w:vAlign w:val="center"/>
          </w:tcPr>
          <w:p>
            <w:pPr>
              <w:pStyle w:val="TableContents"/>
              <w:bidi w:val="0"/>
              <w:spacing w:before="0" w:after="283"/>
              <w:jc w:val="right"/>
              <w:rPr/>
            </w:pPr>
            <w:r>
              <w:rPr/>
              <w:t>(430)</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90" w:type="dxa"/>
            <w:tcBorders>
              <w:bottom w:val="single" w:sz="2" w:space="0" w:color="FFFFFF"/>
            </w:tcBorders>
            <w:tcMar>
              <w:bottom w:w="50" w:type="dxa"/>
            </w:tcMar>
            <w:vAlign w:val="center"/>
          </w:tcPr>
          <w:p>
            <w:pPr>
              <w:pStyle w:val="TableContents"/>
              <w:bidi w:val="0"/>
              <w:spacing w:before="0" w:after="0"/>
              <w:jc w:val="left"/>
              <w:rPr/>
            </w:pPr>
            <w:r>
              <w:rPr>
                <w:spacing w:val="-4"/>
              </w:rPr>
              <w:t>Net loss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tcMar>
              <w:bottom w:w="50" w:type="dxa"/>
            </w:tcMar>
            <w:vAlign w:val="center"/>
          </w:tcPr>
          <w:p>
            <w:pPr>
              <w:pStyle w:val="TableContents"/>
              <w:bidi w:val="0"/>
              <w:spacing w:before="0" w:after="283"/>
              <w:jc w:val="right"/>
              <w:rPr/>
            </w:pPr>
            <w:r>
              <w:rPr/>
              <w:t>(1,471,882)</w:t>
            </w:r>
          </w:p>
        </w:tc>
        <w:tc>
          <w:tcPr>
            <w:tcW w:w="1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1" w:type="dxa"/>
            <w:tcBorders>
              <w:bottom w:val="single" w:sz="2" w:space="0" w:color="000000"/>
            </w:tcBorders>
            <w:tcMar>
              <w:bottom w:w="50" w:type="dxa"/>
            </w:tcMar>
            <w:vAlign w:val="center"/>
          </w:tcPr>
          <w:p>
            <w:pPr>
              <w:pStyle w:val="TableContents"/>
              <w:bidi w:val="0"/>
              <w:spacing w:before="0" w:after="283"/>
              <w:jc w:val="right"/>
              <w:rPr/>
            </w:pPr>
            <w:r>
              <w:rPr/>
              <w:t>$</w:t>
            </w:r>
          </w:p>
        </w:tc>
        <w:tc>
          <w:tcPr>
            <w:tcW w:w="1321" w:type="dxa"/>
            <w:tcBorders>
              <w:bottom w:val="single" w:sz="2" w:space="0" w:color="000000"/>
            </w:tcBorders>
            <w:tcMar>
              <w:bottom w:w="50" w:type="dxa"/>
            </w:tcMar>
            <w:vAlign w:val="center"/>
          </w:tcPr>
          <w:p>
            <w:pPr>
              <w:pStyle w:val="TableContents"/>
              <w:bidi w:val="0"/>
              <w:spacing w:before="0" w:after="283"/>
              <w:jc w:val="right"/>
              <w:rPr/>
            </w:pPr>
            <w:r>
              <w:rPr/>
              <w:t>(666,995)</w:t>
            </w:r>
          </w:p>
        </w:tc>
        <w:tc>
          <w:tcPr>
            <w:tcW w:w="121"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59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Preferred stock dividends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50" w:type="dxa"/>
            </w:tcMar>
            <w:vAlign w:val="center"/>
          </w:tcPr>
          <w:p>
            <w:pPr>
              <w:pStyle w:val="TableContents"/>
              <w:bidi w:val="0"/>
              <w:spacing w:before="0" w:after="283"/>
              <w:jc w:val="right"/>
              <w:rPr/>
            </w:pPr>
            <w:r>
              <w:rPr/>
              <w:t>(32,548)</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0"/>
              <w:jc w:val="left"/>
              <w:rPr/>
            </w:pPr>
            <w:r>
              <w:rPr>
                <w:spacing w:val="-4"/>
              </w:rPr>
              <w:t>Net loss attributable to common stockholders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bottom w:val="double" w:sz="8" w:space="0" w:color="000000"/>
            </w:tcBorders>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tcMar>
              <w:bottom w:w="50" w:type="dxa"/>
            </w:tcMar>
            <w:vAlign w:val="center"/>
          </w:tcPr>
          <w:p>
            <w:pPr>
              <w:pStyle w:val="TableContents"/>
              <w:bidi w:val="0"/>
              <w:spacing w:before="0" w:after="283"/>
              <w:jc w:val="right"/>
              <w:rPr/>
            </w:pPr>
            <w:r>
              <w:rPr/>
              <w:t>(1,504,430)</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bottom w:val="double" w:sz="8" w:space="0" w:color="000000"/>
            </w:tcBorders>
            <w:tcMar>
              <w:bottom w:w="50" w:type="dxa"/>
            </w:tcMar>
            <w:vAlign w:val="center"/>
          </w:tcPr>
          <w:p>
            <w:pPr>
              <w:pStyle w:val="TableContents"/>
              <w:bidi w:val="0"/>
              <w:spacing w:before="0" w:after="283"/>
              <w:jc w:val="right"/>
              <w:rPr/>
            </w:pPr>
            <w:r>
              <w:rPr/>
              <w:t>$</w:t>
            </w:r>
          </w:p>
        </w:tc>
        <w:tc>
          <w:tcPr>
            <w:tcW w:w="1321" w:type="dxa"/>
            <w:tcBorders>
              <w:bottom w:val="double" w:sz="8" w:space="0" w:color="000000"/>
            </w:tcBorders>
            <w:tcMar>
              <w:bottom w:w="50" w:type="dxa"/>
            </w:tcMar>
            <w:vAlign w:val="center"/>
          </w:tcPr>
          <w:p>
            <w:pPr>
              <w:pStyle w:val="TableContents"/>
              <w:bidi w:val="0"/>
              <w:spacing w:before="0" w:after="283"/>
              <w:jc w:val="right"/>
              <w:rPr/>
            </w:pPr>
            <w:r>
              <w:rPr/>
              <w:t>(666,995)</w:t>
            </w:r>
          </w:p>
        </w:tc>
        <w:tc>
          <w:tcPr>
            <w:tcW w:w="12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90"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 xml:space="preserve">Weighted average number of shares outstanding, common stock – Basic </w:t>
            </w:r>
            <w:r>
              <w:rPr/>
              <w:br/>
            </w:r>
            <w:r>
              <w:rPr>
                <w:spacing w:val="4"/>
              </w:rPr>
              <w:t>and diluted</w:t>
            </w:r>
            <w:r>
              <w:rPr>
                <w:spacing w:val="3"/>
                <w:szCs w:val="13"/>
              </w:rPr>
              <w:t>﻿</w:t>
            </w:r>
            <w:r>
              <w:rPr>
                <w:spacing w:val="3"/>
                <w:sz w:val="13"/>
              </w:rPr>
              <w:t>(1)</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8"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37" w:type="dxa"/>
            </w:tcMar>
            <w:vAlign w:val="center"/>
          </w:tcPr>
          <w:p>
            <w:pPr>
              <w:pStyle w:val="TableContents"/>
              <w:bidi w:val="0"/>
              <w:spacing w:before="0" w:after="283"/>
              <w:jc w:val="right"/>
              <w:rPr/>
            </w:pPr>
            <w:r>
              <w:rPr/>
              <w:t>19,364,134</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1"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321" w:type="dxa"/>
            <w:tcBorders>
              <w:bottom w:val="single" w:sz="2" w:space="0" w:color="000000"/>
            </w:tcBorders>
            <w:shd w:fill="CCEEFF" w:val="clear"/>
            <w:tcMar>
              <w:bottom w:w="37" w:type="dxa"/>
            </w:tcMar>
            <w:vAlign w:val="center"/>
          </w:tcPr>
          <w:p>
            <w:pPr>
              <w:pStyle w:val="TableContents"/>
              <w:bidi w:val="0"/>
              <w:spacing w:before="0" w:after="283"/>
              <w:jc w:val="right"/>
              <w:rPr/>
            </w:pPr>
            <w:r>
              <w:rPr/>
              <w:t>16,755,118</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0"/>
              <w:jc w:val="left"/>
              <w:rPr/>
            </w:pPr>
            <w:r>
              <w:rPr>
                <w:spacing w:val="4"/>
              </w:rPr>
              <w:t>Loss per share, common stock – Basic and diluted</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bottom w:val="double" w:sz="8" w:space="0" w:color="000000"/>
            </w:tcBorders>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tcMar>
              <w:bottom w:w="50" w:type="dxa"/>
            </w:tcMar>
            <w:vAlign w:val="center"/>
          </w:tcPr>
          <w:p>
            <w:pPr>
              <w:pStyle w:val="TableContents"/>
              <w:bidi w:val="0"/>
              <w:spacing w:before="0" w:after="283"/>
              <w:jc w:val="right"/>
              <w:rPr/>
            </w:pPr>
            <w:r>
              <w:rPr/>
              <w:t>(0.08)</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1" w:type="dxa"/>
            <w:tcBorders>
              <w:bottom w:val="double" w:sz="8" w:space="0" w:color="000000"/>
            </w:tcBorders>
            <w:tcMar>
              <w:bottom w:w="50" w:type="dxa"/>
            </w:tcMar>
            <w:vAlign w:val="center"/>
          </w:tcPr>
          <w:p>
            <w:pPr>
              <w:pStyle w:val="TableContents"/>
              <w:bidi w:val="0"/>
              <w:spacing w:before="0" w:after="283"/>
              <w:jc w:val="right"/>
              <w:rPr/>
            </w:pPr>
            <w:r>
              <w:rPr/>
              <w:t>$</w:t>
            </w:r>
          </w:p>
        </w:tc>
        <w:tc>
          <w:tcPr>
            <w:tcW w:w="1321" w:type="dxa"/>
            <w:tcBorders>
              <w:bottom w:val="double" w:sz="8" w:space="0" w:color="000000"/>
            </w:tcBorders>
            <w:tcMar>
              <w:bottom w:w="50" w:type="dxa"/>
            </w:tcMar>
            <w:vAlign w:val="center"/>
          </w:tcPr>
          <w:p>
            <w:pPr>
              <w:pStyle w:val="TableContents"/>
              <w:bidi w:val="0"/>
              <w:spacing w:before="0" w:after="283"/>
              <w:jc w:val="right"/>
              <w:rPr/>
            </w:pPr>
            <w:r>
              <w:rPr/>
              <w:t>(0.04)</w:t>
            </w:r>
          </w:p>
        </w:tc>
        <w:tc>
          <w:tcPr>
            <w:tcW w:w="121"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the Company’s common stock, prior to the de-SPAC (as defined in Note 1) have been retroactively restated to reflect the exchange ratio of approximately 5.8349:1 established in the de-SPAC, as described in Note 4. </w:t>
      </w:r>
      <w:r>
        <mc:AlternateContent>
          <mc:Choice Requires="wps">
            <w:drawing>
              <wp:anchor behindDoc="0" distT="101600" distB="0" distL="0" distR="0" simplePos="0" locked="0" layoutInCell="1" allowOverlap="1" relativeHeight="299">
                <wp:simplePos x="0" y="0"/>
                <wp:positionH relativeFrom="column">
                  <wp:align>left</wp:align>
                </wp:positionH>
                <wp:positionV relativeFrom="line">
                  <wp:align>top</wp:align>
                </wp:positionV>
                <wp:extent cx="254000" cy="350520"/>
                <wp:effectExtent l="0" t="0" r="0" b="0"/>
                <wp:wrapSquare wrapText="right"/>
                <wp:docPr id="295" name="Frame2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00" w:after="283"/>
        <w:ind w:left="1393"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The accompanying notes are an integral part of these unaudited condensed consolidated interim financial statements.</w:t>
      </w:r>
      <w:r>
        <w:rPr>
          <w:rFonts w:ascii="Times New Roman;Times;serif" w:hAnsi="Times New Roman;Times;serif"/>
          <w:b w:val="false"/>
          <w:i w:val="false"/>
          <w:caps w:val="false"/>
          <w:smallCaps w:val="false"/>
          <w:color w:val="000000"/>
          <w:sz w:val="18"/>
        </w:rPr>
        <w:t>​</w:t>
      </w:r>
      <w:r>
        <w:rPr>
          <w:rFonts w:ascii="Times New Roman;Times;serif" w:hAnsi="Times New Roman;Times;serif"/>
          <w:b w:val="false"/>
          <w:i w:val="false"/>
          <w:caps w:val="false"/>
          <w:smallCaps w:val="false"/>
          <w:color w:val="000000"/>
          <w:spacing w:val="4"/>
          <w:sz w:val="18"/>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CCIS"/>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95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EAGLE NUCLEAR ENERGY CORP.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CONDENSED CONSOLIDATED INTERIM STATEMENTS OF CHANGES IN STOCKHOLDERS’ EQUITY (DEFICIT)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FOR THE THREE MONTHS ENDED FEBRUARY 28, 2026 AND 2025 (UNAUDITED)</w:t>
      </w:r>
      <w:r>
        <w:rPr>
          <w:rFonts w:ascii="Times New Roman;Times;serif" w:hAnsi="Times New Roman;Times;serif"/>
          <w:b/>
          <w:i w:val="false"/>
          <w:caps w:val="false"/>
          <w:smallCaps w:val="false"/>
          <w:color w:val="000000"/>
          <w:spacing w:val="4"/>
          <w:sz w:val="20"/>
        </w:rPr>
        <w:t xml:space="preserve"> </w:t>
      </w:r>
    </w:p>
    <w:tbl>
      <w:tblPr>
        <w:tblW w:w="12026" w:type="dxa"/>
        <w:jc w:val="left"/>
        <w:tblInd w:w="1393" w:type="dxa"/>
        <w:tblLayout w:type="fixed"/>
        <w:tblCellMar>
          <w:top w:w="0" w:type="dxa"/>
          <w:left w:w="0" w:type="dxa"/>
          <w:bottom w:w="28" w:type="dxa"/>
          <w:right w:w="0" w:type="dxa"/>
        </w:tblCellMar>
      </w:tblPr>
      <w:tblGrid>
        <w:gridCol w:w="1606"/>
        <w:gridCol w:w="109"/>
        <w:gridCol w:w="109"/>
        <w:gridCol w:w="109"/>
        <w:gridCol w:w="109"/>
        <w:gridCol w:w="1186"/>
        <w:gridCol w:w="109"/>
        <w:gridCol w:w="109"/>
        <w:gridCol w:w="109"/>
        <w:gridCol w:w="109"/>
        <w:gridCol w:w="226"/>
        <w:gridCol w:w="646"/>
        <w:gridCol w:w="109"/>
        <w:gridCol w:w="109"/>
        <w:gridCol w:w="109"/>
        <w:gridCol w:w="109"/>
        <w:gridCol w:w="226"/>
        <w:gridCol w:w="1186"/>
        <w:gridCol w:w="109"/>
        <w:gridCol w:w="109"/>
        <w:gridCol w:w="109"/>
        <w:gridCol w:w="109"/>
        <w:gridCol w:w="226"/>
        <w:gridCol w:w="1066"/>
        <w:gridCol w:w="109"/>
        <w:gridCol w:w="109"/>
        <w:gridCol w:w="109"/>
        <w:gridCol w:w="109"/>
        <w:gridCol w:w="226"/>
        <w:gridCol w:w="1141"/>
        <w:gridCol w:w="109"/>
        <w:gridCol w:w="109"/>
        <w:gridCol w:w="109"/>
        <w:gridCol w:w="109"/>
        <w:gridCol w:w="226"/>
        <w:gridCol w:w="1186"/>
        <w:gridCol w:w="109"/>
        <w:gridCol w:w="154"/>
      </w:tblGrid>
      <w:tr>
        <w:trPr/>
        <w:tc>
          <w:tcPr>
            <w:tcW w:w="16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21"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63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Additional</w:t>
            </w:r>
            <w:r>
              <w:rPr/>
              <w:t xml:space="preserve"> </w:t>
              <w:br/>
            </w:r>
            <w:r>
              <w:rPr>
                <w:spacing w:val="-3"/>
              </w:rPr>
              <w:t>Paid-In</w:t>
            </w:r>
            <w:r>
              <w:rPr/>
              <w:t xml:space="preserve"> </w:t>
              <w:br/>
            </w:r>
            <w:r>
              <w:rPr>
                <w:spacing w:val="-3"/>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Obligation to</w:t>
            </w:r>
            <w:r>
              <w:rPr/>
              <w:t xml:space="preserve"> </w:t>
              <w:br/>
            </w:r>
            <w:r>
              <w:rPr>
                <w:spacing w:val="-3"/>
              </w:rPr>
              <w:t xml:space="preserve">Issue Shares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85"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Accumulated</w:t>
            </w:r>
            <w:r>
              <w:rPr/>
              <w:t xml:space="preserve"> </w:t>
              <w:br/>
            </w:r>
            <w:r>
              <w:rPr>
                <w:spacing w:val="-3"/>
              </w:rPr>
              <w:t xml:space="preserve">Deficit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63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Total</w:t>
            </w:r>
            <w:r>
              <w:rPr/>
              <w:t xml:space="preserve"> </w:t>
            </w:r>
          </w:p>
          <w:p>
            <w:pPr>
              <w:pStyle w:val="TableContents"/>
              <w:bidi w:val="0"/>
              <w:spacing w:lineRule="atLeast" w:line="180" w:before="60" w:after="283"/>
              <w:jc w:val="center"/>
              <w:rPr/>
            </w:pPr>
            <w:r>
              <w:rPr>
                <w:spacing w:val="-3"/>
              </w:rPr>
              <w:t>Stockholders’</w:t>
            </w:r>
            <w:r>
              <w:rPr/>
              <w:t xml:space="preserve"> </w:t>
              <w:br/>
            </w:r>
            <w:r>
              <w:rPr>
                <w:spacing w:val="-3"/>
              </w:rPr>
              <w:t>Equity</w:t>
            </w:r>
            <w:r>
              <w:rPr/>
              <w:t xml:space="preserve"> </w:t>
              <w:br/>
            </w:r>
            <w:r>
              <w:rPr>
                <w:spacing w:val="-3"/>
              </w:rPr>
              <w:t xml:space="preserve">(Deficit)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6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Number of</w:t>
            </w:r>
            <w:r>
              <w:rPr/>
              <w:t xml:space="preserve"> </w:t>
              <w:br/>
            </w:r>
            <w:r>
              <w:rPr>
                <w:spacing w:val="-3"/>
              </w:rPr>
              <w:t>Shares</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630"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10"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85"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630"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606" w:type="dxa"/>
            <w:tcBorders/>
            <w:shd w:fill="CCEEFF" w:val="clear"/>
            <w:tcMar>
              <w:bottom w:w="0" w:type="dxa"/>
            </w:tcMar>
            <w:vAlign w:val="center"/>
          </w:tcPr>
          <w:p>
            <w:pPr>
              <w:pStyle w:val="TableContents"/>
              <w:bidi w:val="0"/>
              <w:spacing w:before="0" w:after="0"/>
              <w:jc w:val="left"/>
              <w:rPr>
                <w:spacing w:val="4"/>
              </w:rPr>
            </w:pPr>
            <w:r>
              <w:rPr>
                <w:spacing w:val="4"/>
              </w:rPr>
              <w:t xml:space="preserve">Balance November 30,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16,452,690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227,093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167,750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(1,020,057)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(623,569)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6" w:type="dxa"/>
            <w:tcBorders/>
            <w:tcMar>
              <w:bottom w:w="0" w:type="dxa"/>
            </w:tcMar>
            <w:vAlign w:val="center"/>
          </w:tcPr>
          <w:p>
            <w:pPr>
              <w:pStyle w:val="TableContents"/>
              <w:bidi w:val="0"/>
              <w:spacing w:before="0" w:after="0"/>
              <w:jc w:val="left"/>
              <w:rPr>
                <w:spacing w:val="4"/>
              </w:rPr>
            </w:pPr>
            <w:r>
              <w:rPr>
                <w:spacing w:val="4"/>
              </w:rPr>
              <w:t xml:space="preserve">Issuance of common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312,007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1,110,498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1,110,529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6" w:type="dxa"/>
            <w:tcBorders/>
            <w:shd w:fill="CCEEFF" w:val="clear"/>
            <w:tcMar>
              <w:bottom w:w="0" w:type="dxa"/>
            </w:tcMar>
            <w:vAlign w:val="center"/>
          </w:tcPr>
          <w:p>
            <w:pPr>
              <w:pStyle w:val="TableContents"/>
              <w:bidi w:val="0"/>
              <w:spacing w:before="0" w:after="0"/>
              <w:jc w:val="left"/>
              <w:rPr>
                <w:spacing w:val="4"/>
              </w:rPr>
            </w:pPr>
            <w:r>
              <w:rPr>
                <w:spacing w:val="4"/>
              </w:rPr>
              <w:t xml:space="preserve">Issuance of bonus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51,414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182,995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(167,750)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6" w:type="dxa"/>
            <w:tcBorders/>
            <w:tcMar>
              <w:bottom w:w="0" w:type="dxa"/>
            </w:tcMar>
            <w:vAlign w:val="center"/>
          </w:tcPr>
          <w:p>
            <w:pPr>
              <w:pStyle w:val="TableContents"/>
              <w:bidi w:val="0"/>
              <w:spacing w:before="0" w:after="0"/>
              <w:ind w:left="200" w:right="0" w:hanging="200"/>
              <w:jc w:val="left"/>
              <w:rPr>
                <w:spacing w:val="4"/>
              </w:rPr>
            </w:pPr>
            <w:r>
              <w:rPr>
                <w:spacing w:val="4"/>
              </w:rPr>
              <w:t xml:space="preserve">Proceeds received pending issuance of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1,350,470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1,350,470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6" w:type="dxa"/>
            <w:tcBorders/>
            <w:shd w:fill="CCEEFF" w:val="clear"/>
            <w:tcMar>
              <w:bottom w:w="0" w:type="dxa"/>
            </w:tcMar>
            <w:vAlign w:val="center"/>
          </w:tcPr>
          <w:p>
            <w:pPr>
              <w:pStyle w:val="TableContents"/>
              <w:bidi w:val="0"/>
              <w:spacing w:before="0" w:after="0"/>
              <w:jc w:val="left"/>
              <w:rPr>
                <w:spacing w:val="4"/>
              </w:rPr>
            </w:pPr>
            <w:r>
              <w:rPr>
                <w:spacing w:val="4"/>
              </w:rPr>
              <w:t xml:space="preserve">Share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Net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41" w:type="dxa"/>
            <w:tcBorders>
              <w:bottom w:val="single" w:sz="2" w:space="0" w:color="000000"/>
            </w:tcBorders>
            <w:tcMar>
              <w:bottom w:w="50" w:type="dxa"/>
            </w:tcMar>
            <w:vAlign w:val="center"/>
          </w:tcPr>
          <w:p>
            <w:pPr>
              <w:pStyle w:val="TableContents"/>
              <w:bidi w:val="0"/>
              <w:spacing w:before="0" w:after="283"/>
              <w:jc w:val="right"/>
              <w:rPr/>
            </w:pPr>
            <w:r>
              <w:rPr/>
              <w:t>(666,995)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(666,995)</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6" w:type="dxa"/>
            <w:tcBorders/>
            <w:shd w:fill="CCEEFF" w:val="clear"/>
            <w:tcMar>
              <w:bottom w:w="0" w:type="dxa"/>
            </w:tcMar>
            <w:vAlign w:val="center"/>
          </w:tcPr>
          <w:p>
            <w:pPr>
              <w:pStyle w:val="TableContents"/>
              <w:bidi w:val="0"/>
              <w:spacing w:before="0" w:after="0"/>
              <w:jc w:val="left"/>
              <w:rPr/>
            </w:pPr>
            <w:r>
              <w:rPr>
                <w:spacing w:val="-4"/>
              </w:rPr>
              <w:t>Balance, February 28,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16,816,111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1,483,144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1,350,470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(1,687,052)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1,148,243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6" w:type="dxa"/>
            <w:tcBorders/>
            <w:tcMar>
              <w:bottom w:w="0" w:type="dxa"/>
            </w:tcMar>
            <w:vAlign w:val="center"/>
          </w:tcPr>
          <w:p>
            <w:pPr>
              <w:pStyle w:val="TableContents"/>
              <w:bidi w:val="0"/>
              <w:spacing w:before="0" w:after="0"/>
              <w:jc w:val="left"/>
              <w:rPr>
                <w:spacing w:val="4"/>
              </w:rPr>
            </w:pPr>
            <w:r>
              <w:rPr>
                <w:spacing w:val="4"/>
              </w:rPr>
              <w:t xml:space="preserve">Balance November 30,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18,888,289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7,968,157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(6,280,689)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1,689,357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Conversion of redeemable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2,750,000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299,725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6" w:type="dxa"/>
            <w:tcBorders/>
            <w:tcMar>
              <w:bottom w:w="0" w:type="dxa"/>
            </w:tcMar>
            <w:vAlign w:val="center"/>
          </w:tcPr>
          <w:p>
            <w:pPr>
              <w:pStyle w:val="TableContents"/>
              <w:bidi w:val="0"/>
              <w:spacing w:before="0" w:after="0"/>
              <w:jc w:val="left"/>
              <w:rPr>
                <w:spacing w:val="4"/>
              </w:rPr>
            </w:pPr>
            <w:r>
              <w:rPr>
                <w:spacing w:val="4"/>
              </w:rPr>
              <w:t xml:space="preserve">Reverse recapitalization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6,230,033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1,990,561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1,991,184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Issuance of common shares for acquisition of Oregon Energy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1,710,991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11,959,656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11,959,827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6" w:type="dxa"/>
            <w:tcBorders/>
            <w:tcMar>
              <w:bottom w:w="0" w:type="dxa"/>
            </w:tcMar>
            <w:vAlign w:val="center"/>
          </w:tcPr>
          <w:p>
            <w:pPr>
              <w:pStyle w:val="TableContents"/>
              <w:bidi w:val="0"/>
              <w:spacing w:before="0" w:after="0"/>
              <w:jc w:val="left"/>
              <w:rPr>
                <w:spacing w:val="4"/>
              </w:rPr>
            </w:pPr>
            <w:r>
              <w:rPr>
                <w:spacing w:val="4"/>
              </w:rPr>
              <w:t xml:space="preserve">Accretion of mezzanine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6"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spacing w:val="4"/>
              </w:rPr>
            </w:pPr>
            <w:r>
              <w:rPr>
                <w:spacing w:val="4"/>
              </w:rPr>
              <w:t xml:space="preserve">Net loss attributable to common stockholders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141" w:type="dxa"/>
            <w:tcBorders>
              <w:bottom w:val="single" w:sz="2" w:space="0" w:color="000000"/>
            </w:tcBorders>
            <w:shd w:fill="CCEEFF" w:val="clear"/>
            <w:tcMar>
              <w:bottom w:w="37" w:type="dxa"/>
            </w:tcMar>
            <w:vAlign w:val="center"/>
          </w:tcPr>
          <w:p>
            <w:pPr>
              <w:pStyle w:val="TableContents"/>
              <w:bidi w:val="0"/>
              <w:spacing w:before="0" w:after="283"/>
              <w:jc w:val="right"/>
              <w:rPr/>
            </w:pPr>
            <w:r>
              <w:rPr/>
              <w:t>(1,504,430)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7" w:type="dxa"/>
            </w:tcMar>
            <w:vAlign w:val="center"/>
          </w:tcPr>
          <w:p>
            <w:pPr>
              <w:pStyle w:val="TableContents"/>
              <w:bidi w:val="0"/>
              <w:spacing w:before="0" w:after="283"/>
              <w:jc w:val="right"/>
              <w:rPr/>
            </w:pPr>
            <w:r>
              <w:rPr/>
              <w:t>(1,504,430)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06" w:type="dxa"/>
            <w:tcBorders/>
            <w:tcMar>
              <w:bottom w:w="0" w:type="dxa"/>
            </w:tcMar>
            <w:vAlign w:val="center"/>
          </w:tcPr>
          <w:p>
            <w:pPr>
              <w:pStyle w:val="TableContents"/>
              <w:bidi w:val="0"/>
              <w:spacing w:before="0" w:after="0"/>
              <w:jc w:val="left"/>
              <w:rPr/>
            </w:pPr>
            <w:r>
              <w:rPr>
                <w:spacing w:val="-4"/>
              </w:rPr>
              <w:t>Balance, February 28, 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29,579,313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2,958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22,209,619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41" w:type="dxa"/>
            <w:tcBorders>
              <w:bottom w:val="double" w:sz="8" w:space="0" w:color="000000"/>
            </w:tcBorders>
            <w:tcMar>
              <w:bottom w:w="50" w:type="dxa"/>
            </w:tcMar>
            <w:vAlign w:val="center"/>
          </w:tcPr>
          <w:p>
            <w:pPr>
              <w:pStyle w:val="TableContents"/>
              <w:bidi w:val="0"/>
              <w:spacing w:before="0" w:after="283"/>
              <w:jc w:val="right"/>
              <w:rPr/>
            </w:pPr>
            <w:r>
              <w:rPr/>
              <w:t>(7,785,119)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14,427,458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the Company’s common stock, prior to the de-SPAC (as defined in Note 1) have been retroactively restated to reflect the exchange ratio of approximately 5.8349:1 established in the de-SPAC, as described in Note 4. </w:t>
      </w:r>
      <w:r>
        <mc:AlternateContent>
          <mc:Choice Requires="wps">
            <w:drawing>
              <wp:anchor behindDoc="0" distT="101600" distB="0" distL="0" distR="0" simplePos="0" locked="0" layoutInCell="1" allowOverlap="1" relativeHeight="300">
                <wp:simplePos x="0" y="0"/>
                <wp:positionH relativeFrom="column">
                  <wp:align>left</wp:align>
                </wp:positionH>
                <wp:positionV relativeFrom="line">
                  <wp:align>top</wp:align>
                </wp:positionV>
                <wp:extent cx="254000" cy="350520"/>
                <wp:effectExtent l="0" t="0" r="0" b="0"/>
                <wp:wrapSquare wrapText="right"/>
                <wp:docPr id="296" name="Frame2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00" w:after="283"/>
        <w:ind w:left="1393"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The accompanying notes are an integral part of these unaudited condensed consolidated interim financial statements.</w:t>
      </w:r>
      <w:r>
        <w:rPr>
          <w:rFonts w:ascii="Times New Roman;Times;serif" w:hAnsi="Times New Roman;Times;serif"/>
          <w:b w:val="false"/>
          <w:i w:val="false"/>
          <w:caps w:val="false"/>
          <w:smallCaps w:val="false"/>
          <w:color w:val="000000"/>
          <w:sz w:val="18"/>
        </w:rPr>
        <w:t>​</w:t>
      </w:r>
      <w:r>
        <w:rPr>
          <w:rFonts w:ascii="Times New Roman;Times;serif" w:hAnsi="Times New Roman;Times;serif"/>
          <w:b w:val="false"/>
          <w:i w:val="false"/>
          <w:caps w:val="false"/>
          <w:smallCaps w:val="false"/>
          <w:color w:val="000000"/>
          <w:spacing w:val="4"/>
          <w:sz w:val="18"/>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CCIS2"/>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EAGLE NUCLEAR ENERGY CORP.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CONDENSED CONSOLIDATED INTERIM STATEMENTS OF CASH FLOWS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FOR THE THREE MONTHS ENDED FEBRUARY 28, 2026 AND 2025 (UNAUDITED)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802"/>
        <w:gridCol w:w="109"/>
        <w:gridCol w:w="109"/>
        <w:gridCol w:w="115"/>
        <w:gridCol w:w="240"/>
        <w:gridCol w:w="1275"/>
        <w:gridCol w:w="115"/>
        <w:gridCol w:w="109"/>
        <w:gridCol w:w="109"/>
        <w:gridCol w:w="120"/>
        <w:gridCol w:w="250"/>
        <w:gridCol w:w="1179"/>
        <w:gridCol w:w="120"/>
        <w:gridCol w:w="160"/>
      </w:tblGrid>
      <w:tr>
        <w:trPr/>
        <w:tc>
          <w:tcPr>
            <w:tcW w:w="48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45" w:type="dxa"/>
            <w:gridSpan w:val="4"/>
            <w:tcBorders>
              <w:bottom w:val="single" w:sz="2" w:space="0" w:color="000000"/>
            </w:tcBorders>
            <w:vAlign w:val="center"/>
          </w:tcPr>
          <w:p>
            <w:pPr>
              <w:pStyle w:val="TableContents"/>
              <w:bidi w:val="0"/>
              <w:spacing w:before="0" w:after="0"/>
              <w:jc w:val="center"/>
              <w:rPr/>
            </w:pPr>
            <w:r>
              <w:rPr>
                <w:spacing w:val="-3"/>
              </w:rPr>
              <w:t xml:space="preserve">For the </w:t>
            </w:r>
            <w:r>
              <w:rPr/>
              <w:br/>
            </w:r>
            <w:r>
              <w:rPr>
                <w:spacing w:val="-3"/>
              </w:rPr>
              <w:t xml:space="preserve">three months ended </w:t>
            </w:r>
            <w:r>
              <w:rPr/>
              <w:br/>
            </w:r>
            <w:r>
              <w:rPr>
                <w:spacing w:val="-3"/>
              </w:rPr>
              <w:t xml:space="preserve">February 28, 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9" w:type="dxa"/>
            <w:gridSpan w:val="4"/>
            <w:tcBorders>
              <w:bottom w:val="single" w:sz="2" w:space="0" w:color="000000"/>
            </w:tcBorders>
            <w:vAlign w:val="center"/>
          </w:tcPr>
          <w:p>
            <w:pPr>
              <w:pStyle w:val="TableContents"/>
              <w:bidi w:val="0"/>
              <w:spacing w:before="0" w:after="0"/>
              <w:jc w:val="center"/>
              <w:rPr/>
            </w:pPr>
            <w:r>
              <w:rPr>
                <w:spacing w:val="-3"/>
              </w:rPr>
              <w:t xml:space="preserve">For the </w:t>
            </w:r>
            <w:r>
              <w:rPr/>
              <w:br/>
            </w:r>
            <w:r>
              <w:rPr>
                <w:spacing w:val="-3"/>
              </w:rPr>
              <w:t xml:space="preserve">three months ended </w:t>
            </w:r>
            <w:r>
              <w:rPr/>
              <w:br/>
            </w:r>
            <w:r>
              <w:rPr>
                <w:spacing w:val="-3"/>
              </w:rPr>
              <w:t xml:space="preserve">February 28, 2025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283"/>
              <w:jc w:val="left"/>
              <w:rPr/>
            </w:pPr>
            <w:r>
              <w:rPr>
                <w:spacing w:val="-4"/>
              </w:rPr>
              <w:t>Cash flows from operating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Net loss attributable to common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275" w:type="dxa"/>
            <w:tcBorders/>
            <w:tcMar>
              <w:bottom w:w="0" w:type="dxa"/>
            </w:tcMar>
            <w:vAlign w:val="center"/>
          </w:tcPr>
          <w:p>
            <w:pPr>
              <w:pStyle w:val="TableContents"/>
              <w:bidi w:val="0"/>
              <w:spacing w:before="0" w:after="283"/>
              <w:jc w:val="right"/>
              <w:rPr/>
            </w:pPr>
            <w:r>
              <w:rPr/>
              <w:t>(1,504,430)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79" w:type="dxa"/>
            <w:tcBorders/>
            <w:tcMar>
              <w:bottom w:w="0" w:type="dxa"/>
            </w:tcMar>
            <w:vAlign w:val="center"/>
          </w:tcPr>
          <w:p>
            <w:pPr>
              <w:pStyle w:val="TableContents"/>
              <w:bidi w:val="0"/>
              <w:spacing w:before="0" w:after="283"/>
              <w:jc w:val="right"/>
              <w:rPr/>
            </w:pPr>
            <w:r>
              <w:rPr/>
              <w:t>(666,995)</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Adjustments to reconcile net loss attributable to common stockholders to 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Amortization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275" w:type="dxa"/>
            <w:tcBorders/>
            <w:tcMar>
              <w:bottom w:w="0" w:type="dxa"/>
            </w:tcMar>
            <w:vAlign w:val="center"/>
          </w:tcPr>
          <w:p>
            <w:pPr>
              <w:pStyle w:val="TableContents"/>
              <w:bidi w:val="0"/>
              <w:spacing w:before="0" w:after="283"/>
              <w:jc w:val="right"/>
              <w:rPr/>
            </w:pPr>
            <w:r>
              <w:rPr/>
              <w:t>941</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79"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1,483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Loss on foreign currency transactions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275" w:type="dxa"/>
            <w:tcBorders/>
            <w:tcMar>
              <w:bottom w:w="0" w:type="dxa"/>
            </w:tcMar>
            <w:vAlign w:val="center"/>
          </w:tcPr>
          <w:p>
            <w:pPr>
              <w:pStyle w:val="TableContents"/>
              <w:bidi w:val="0"/>
              <w:spacing w:before="0" w:after="283"/>
              <w:jc w:val="right"/>
              <w:rPr/>
            </w:pPr>
            <w:r>
              <w:rPr/>
              <w:t>9,779</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79"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jc w:val="left"/>
              <w:rPr>
                <w:spacing w:val="4"/>
              </w:rPr>
            </w:pPr>
            <w:r>
              <w:rPr>
                <w:spacing w:val="4"/>
              </w:rPr>
              <w:t xml:space="preserve">Non-cash lease adjustment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24,638</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Non-cash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27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79" w:type="dxa"/>
            <w:tcBorders/>
            <w:tcMar>
              <w:bottom w:w="0" w:type="dxa"/>
            </w:tcMar>
            <w:vAlign w:val="center"/>
          </w:tcPr>
          <w:p>
            <w:pPr>
              <w:pStyle w:val="TableContents"/>
              <w:bidi w:val="0"/>
              <w:spacing w:before="0" w:after="283"/>
              <w:jc w:val="right"/>
              <w:rPr/>
            </w:pPr>
            <w:r>
              <w:rPr/>
              <w:t>15,250</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jc w:val="left"/>
              <w:rPr>
                <w:spacing w:val="4"/>
              </w:rPr>
            </w:pPr>
            <w:r>
              <w:rPr>
                <w:spacing w:val="4"/>
              </w:rPr>
              <w:t xml:space="preserve">Preferred stock dividends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32,548</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283"/>
              <w:jc w:val="left"/>
              <w:rPr>
                <w:spacing w:val="4"/>
              </w:rPr>
            </w:pPr>
            <w:r>
              <w:rPr>
                <w:spacing w:val="4"/>
              </w:rPr>
              <w:t xml:space="preserve">Changes in operating assets and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27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79"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jc w:val="left"/>
              <w:rPr>
                <w:spacing w:val="4"/>
              </w:rPr>
            </w:pPr>
            <w:r>
              <w:rPr>
                <w:spacing w:val="4"/>
              </w:rPr>
              <w:t xml:space="preserve">Accounts payable and accrued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(27,670)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66,571</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Prepaid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275" w:type="dxa"/>
            <w:tcBorders/>
            <w:tcMar>
              <w:bottom w:w="0" w:type="dxa"/>
            </w:tcMar>
            <w:vAlign w:val="center"/>
          </w:tcPr>
          <w:p>
            <w:pPr>
              <w:pStyle w:val="TableContents"/>
              <w:bidi w:val="0"/>
              <w:spacing w:before="0" w:after="283"/>
              <w:jc w:val="right"/>
              <w:rPr/>
            </w:pPr>
            <w:r>
              <w:rPr/>
              <w:t>107,639</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79" w:type="dxa"/>
            <w:tcBorders/>
            <w:tcMar>
              <w:bottom w:w="0" w:type="dxa"/>
            </w:tcMar>
            <w:vAlign w:val="center"/>
          </w:tcPr>
          <w:p>
            <w:pPr>
              <w:pStyle w:val="TableContents"/>
              <w:bidi w:val="0"/>
              <w:spacing w:before="0" w:after="283"/>
              <w:jc w:val="right"/>
              <w:rPr/>
            </w:pPr>
            <w:r>
              <w:rPr/>
              <w:t>(141,708)</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Due to related parties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40" w:type="dxa"/>
            <w:tcBorders>
              <w:bottom w:val="single" w:sz="2" w:space="0" w:color="000000"/>
            </w:tcBorders>
            <w:shd w:fill="CCEEFF" w:val="clear"/>
            <w:vAlign w:val="center"/>
          </w:tcPr>
          <w:p>
            <w:pPr>
              <w:pStyle w:val="TableContents"/>
              <w:bidi w:val="0"/>
              <w:spacing w:before="0" w:after="283"/>
              <w:jc w:val="right"/>
              <w:rPr/>
            </w:pPr>
            <w:r>
              <w:rPr/>
              <w:t>​</w:t>
            </w:r>
          </w:p>
        </w:tc>
        <w:tc>
          <w:tcPr>
            <w:tcW w:w="1275" w:type="dxa"/>
            <w:tcBorders>
              <w:bottom w:val="single" w:sz="2" w:space="0" w:color="000000"/>
            </w:tcBorders>
            <w:shd w:fill="CCEEFF" w:val="clear"/>
            <w:vAlign w:val="center"/>
          </w:tcPr>
          <w:p>
            <w:pPr>
              <w:pStyle w:val="TableContents"/>
              <w:bidi w:val="0"/>
              <w:spacing w:before="0" w:after="283"/>
              <w:jc w:val="right"/>
              <w:rPr/>
            </w:pPr>
            <w:r>
              <w:rPr/>
              <w:t>(214,231)</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250" w:type="dxa"/>
            <w:tcBorders>
              <w:bottom w:val="single" w:sz="2" w:space="0" w:color="000000"/>
            </w:tcBorders>
            <w:shd w:fill="CCEEFF" w:val="clear"/>
            <w:vAlign w:val="center"/>
          </w:tcPr>
          <w:p>
            <w:pPr>
              <w:pStyle w:val="TableContents"/>
              <w:bidi w:val="0"/>
              <w:spacing w:before="0" w:after="283"/>
              <w:jc w:val="right"/>
              <w:rPr/>
            </w:pPr>
            <w:r>
              <w:rPr/>
              <w:t>​</w:t>
            </w:r>
          </w:p>
        </w:tc>
        <w:tc>
          <w:tcPr>
            <w:tcW w:w="1179" w:type="dxa"/>
            <w:tcBorders>
              <w:bottom w:val="single" w:sz="2" w:space="0" w:color="000000"/>
            </w:tcBorders>
            <w:shd w:fill="CCEEFF" w:val="clear"/>
            <w:vAlign w:val="center"/>
          </w:tcPr>
          <w:p>
            <w:pPr>
              <w:pStyle w:val="TableContents"/>
              <w:bidi w:val="0"/>
              <w:spacing w:before="0" w:after="283"/>
              <w:jc w:val="right"/>
              <w:rPr/>
            </w:pPr>
            <w:r>
              <w:rPr/>
              <w:t>(59,015)</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02" w:type="dxa"/>
            <w:tcBorders>
              <w:bottom w:val="single" w:sz="2" w:space="0" w:color="FFFFFF"/>
            </w:tcBorders>
            <w:vAlign w:val="center"/>
          </w:tcPr>
          <w:p>
            <w:pPr>
              <w:pStyle w:val="TableContents"/>
              <w:bidi w:val="0"/>
              <w:spacing w:before="0" w:after="0"/>
              <w:jc w:val="left"/>
              <w:rPr/>
            </w:pPr>
            <w:r>
              <w:rPr>
                <w:spacing w:val="-4"/>
              </w:rPr>
              <w:t>Net cash used in operating activities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240" w:type="dxa"/>
            <w:tcBorders>
              <w:bottom w:val="single" w:sz="2" w:space="0" w:color="000000"/>
            </w:tcBorders>
            <w:vAlign w:val="center"/>
          </w:tcPr>
          <w:p>
            <w:pPr>
              <w:pStyle w:val="TableContents"/>
              <w:bidi w:val="0"/>
              <w:spacing w:before="0" w:after="283"/>
              <w:jc w:val="right"/>
              <w:rPr/>
            </w:pPr>
            <w:r>
              <w:rPr/>
              <w:t>​</w:t>
            </w:r>
          </w:p>
        </w:tc>
        <w:tc>
          <w:tcPr>
            <w:tcW w:w="1275" w:type="dxa"/>
            <w:tcBorders>
              <w:bottom w:val="single" w:sz="2" w:space="0" w:color="000000"/>
            </w:tcBorders>
            <w:vAlign w:val="center"/>
          </w:tcPr>
          <w:p>
            <w:pPr>
              <w:pStyle w:val="TableContents"/>
              <w:bidi w:val="0"/>
              <w:spacing w:before="0" w:after="283"/>
              <w:jc w:val="right"/>
              <w:rPr/>
            </w:pPr>
            <w:r>
              <w:rPr/>
              <w:t>(1,569,303)</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50" w:type="dxa"/>
            <w:tcBorders>
              <w:bottom w:val="single" w:sz="2" w:space="0" w:color="000000"/>
            </w:tcBorders>
            <w:vAlign w:val="center"/>
          </w:tcPr>
          <w:p>
            <w:pPr>
              <w:pStyle w:val="TableContents"/>
              <w:bidi w:val="0"/>
              <w:spacing w:before="0" w:after="283"/>
              <w:jc w:val="right"/>
              <w:rPr/>
            </w:pPr>
            <w:r>
              <w:rPr/>
              <w:t>​</w:t>
            </w:r>
          </w:p>
        </w:tc>
        <w:tc>
          <w:tcPr>
            <w:tcW w:w="1179" w:type="dxa"/>
            <w:tcBorders>
              <w:bottom w:val="single" w:sz="2" w:space="0" w:color="000000"/>
            </w:tcBorders>
            <w:vAlign w:val="center"/>
          </w:tcPr>
          <w:p>
            <w:pPr>
              <w:pStyle w:val="TableContents"/>
              <w:bidi w:val="0"/>
              <w:spacing w:before="0" w:after="283"/>
              <w:jc w:val="right"/>
              <w:rPr/>
            </w:pPr>
            <w:r>
              <w:rPr/>
              <w:t>(785,897)</w:t>
            </w:r>
          </w:p>
        </w:tc>
        <w:tc>
          <w:tcPr>
            <w:tcW w:w="120"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283"/>
              <w:jc w:val="left"/>
              <w:rPr/>
            </w:pPr>
            <w:r>
              <w:rPr>
                <w:spacing w:val="-4"/>
              </w:rPr>
              <w:t>Cash flows from investing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Purchase of property, plant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275" w:type="dxa"/>
            <w:tcBorders/>
            <w:tcMar>
              <w:bottom w:w="0" w:type="dxa"/>
            </w:tcMar>
            <w:vAlign w:val="center"/>
          </w:tcPr>
          <w:p>
            <w:pPr>
              <w:pStyle w:val="TableContents"/>
              <w:bidi w:val="0"/>
              <w:spacing w:before="0" w:after="283"/>
              <w:jc w:val="right"/>
              <w:rPr/>
            </w:pPr>
            <w:r>
              <w:rPr/>
              <w:t>(43,065)</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79"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jc w:val="left"/>
              <w:rPr>
                <w:spacing w:val="4"/>
              </w:rPr>
            </w:pPr>
            <w:r>
              <w:rPr>
                <w:spacing w:val="4"/>
              </w:rPr>
              <w:t xml:space="preserve">Purchase of intangible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(10,694)</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Investment in mineral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275" w:type="dxa"/>
            <w:tcBorders/>
            <w:tcMar>
              <w:bottom w:w="0" w:type="dxa"/>
            </w:tcMar>
            <w:vAlign w:val="center"/>
          </w:tcPr>
          <w:p>
            <w:pPr>
              <w:pStyle w:val="TableContents"/>
              <w:bidi w:val="0"/>
              <w:spacing w:before="0" w:after="283"/>
              <w:jc w:val="right"/>
              <w:rPr/>
            </w:pPr>
            <w:r>
              <w:rPr/>
              <w:t>(18,155)</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79" w:type="dxa"/>
            <w:tcBorders/>
            <w:tcMar>
              <w:bottom w:w="0" w:type="dxa"/>
            </w:tcMar>
            <w:vAlign w:val="center"/>
          </w:tcPr>
          <w:p>
            <w:pPr>
              <w:pStyle w:val="TableContents"/>
              <w:bidi w:val="0"/>
              <w:spacing w:before="0" w:after="283"/>
              <w:jc w:val="right"/>
              <w:rPr/>
            </w:pPr>
            <w:r>
              <w:rPr/>
              <w:t>(300,000)</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Cash assumed on acquisition of Oregon Energy LLC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40" w:type="dxa"/>
            <w:tcBorders>
              <w:bottom w:val="single" w:sz="2" w:space="0" w:color="000000"/>
            </w:tcBorders>
            <w:shd w:fill="CCEEFF" w:val="clear"/>
            <w:vAlign w:val="center"/>
          </w:tcPr>
          <w:p>
            <w:pPr>
              <w:pStyle w:val="TableContents"/>
              <w:bidi w:val="0"/>
              <w:spacing w:before="0" w:after="283"/>
              <w:jc w:val="right"/>
              <w:rPr/>
            </w:pPr>
            <w:r>
              <w:rPr/>
              <w:t>​</w:t>
            </w:r>
          </w:p>
        </w:tc>
        <w:tc>
          <w:tcPr>
            <w:tcW w:w="1275" w:type="dxa"/>
            <w:tcBorders>
              <w:bottom w:val="single" w:sz="2" w:space="0" w:color="000000"/>
            </w:tcBorders>
            <w:shd w:fill="CCEEFF" w:val="clear"/>
            <w:vAlign w:val="center"/>
          </w:tcPr>
          <w:p>
            <w:pPr>
              <w:pStyle w:val="TableContents"/>
              <w:bidi w:val="0"/>
              <w:spacing w:before="0" w:after="283"/>
              <w:jc w:val="right"/>
              <w:rPr/>
            </w:pPr>
            <w:r>
              <w:rPr/>
              <w:t>141,262</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250" w:type="dxa"/>
            <w:tcBorders>
              <w:bottom w:val="single" w:sz="2" w:space="0" w:color="000000"/>
            </w:tcBorders>
            <w:shd w:fill="CCEEFF" w:val="clear"/>
            <w:vAlign w:val="center"/>
          </w:tcPr>
          <w:p>
            <w:pPr>
              <w:pStyle w:val="TableContents"/>
              <w:bidi w:val="0"/>
              <w:spacing w:before="0" w:after="283"/>
              <w:jc w:val="right"/>
              <w:rPr/>
            </w:pPr>
            <w:r>
              <w:rPr/>
              <w:t>​</w:t>
            </w:r>
          </w:p>
        </w:tc>
        <w:tc>
          <w:tcPr>
            <w:tcW w:w="1179" w:type="dxa"/>
            <w:tcBorders>
              <w:bottom w:val="single" w:sz="2" w:space="0" w:color="000000"/>
            </w:tcBorders>
            <w:shd w:fill="CCEEFF" w:val="cle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02" w:type="dxa"/>
            <w:tcBorders>
              <w:bottom w:val="single" w:sz="2" w:space="0" w:color="FFFFFF"/>
            </w:tcBorders>
            <w:vAlign w:val="center"/>
          </w:tcPr>
          <w:p>
            <w:pPr>
              <w:pStyle w:val="TableContents"/>
              <w:bidi w:val="0"/>
              <w:spacing w:before="0" w:after="0"/>
              <w:jc w:val="left"/>
              <w:rPr/>
            </w:pPr>
            <w:r>
              <w:rPr>
                <w:spacing w:val="-4"/>
              </w:rPr>
              <w:t>Net cash provided by (used in) investing activities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240" w:type="dxa"/>
            <w:tcBorders>
              <w:bottom w:val="single" w:sz="2" w:space="0" w:color="000000"/>
            </w:tcBorders>
            <w:vAlign w:val="center"/>
          </w:tcPr>
          <w:p>
            <w:pPr>
              <w:pStyle w:val="TableContents"/>
              <w:bidi w:val="0"/>
              <w:spacing w:before="0" w:after="283"/>
              <w:jc w:val="right"/>
              <w:rPr/>
            </w:pPr>
            <w:r>
              <w:rPr/>
              <w:t>​</w:t>
            </w:r>
          </w:p>
        </w:tc>
        <w:tc>
          <w:tcPr>
            <w:tcW w:w="1275" w:type="dxa"/>
            <w:tcBorders>
              <w:bottom w:val="single" w:sz="2" w:space="0" w:color="000000"/>
            </w:tcBorders>
            <w:vAlign w:val="center"/>
          </w:tcPr>
          <w:p>
            <w:pPr>
              <w:pStyle w:val="TableContents"/>
              <w:bidi w:val="0"/>
              <w:spacing w:before="0" w:after="283"/>
              <w:jc w:val="right"/>
              <w:rPr/>
            </w:pPr>
            <w:r>
              <w:rPr/>
              <w:t>69,348</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50" w:type="dxa"/>
            <w:tcBorders>
              <w:bottom w:val="single" w:sz="2" w:space="0" w:color="000000"/>
            </w:tcBorders>
            <w:vAlign w:val="center"/>
          </w:tcPr>
          <w:p>
            <w:pPr>
              <w:pStyle w:val="TableContents"/>
              <w:bidi w:val="0"/>
              <w:spacing w:before="0" w:after="283"/>
              <w:jc w:val="right"/>
              <w:rPr/>
            </w:pPr>
            <w:r>
              <w:rPr/>
              <w:t>​</w:t>
            </w:r>
          </w:p>
        </w:tc>
        <w:tc>
          <w:tcPr>
            <w:tcW w:w="1179" w:type="dxa"/>
            <w:tcBorders>
              <w:bottom w:val="single" w:sz="2" w:space="0" w:color="000000"/>
            </w:tcBorders>
            <w:vAlign w:val="center"/>
          </w:tcPr>
          <w:p>
            <w:pPr>
              <w:pStyle w:val="TableContents"/>
              <w:bidi w:val="0"/>
              <w:spacing w:before="0" w:after="283"/>
              <w:jc w:val="right"/>
              <w:rPr/>
            </w:pPr>
            <w:r>
              <w:rPr/>
              <w:t>(300,000)</w:t>
            </w:r>
          </w:p>
        </w:tc>
        <w:tc>
          <w:tcPr>
            <w:tcW w:w="120"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283"/>
              <w:jc w:val="left"/>
              <w:rPr/>
            </w:pPr>
            <w:r>
              <w:rPr>
                <w:spacing w:val="-4"/>
              </w:rPr>
              <w:t>Cash flows from financing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Proceeds from the issuance of common stock, net of issuance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27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79" w:type="dxa"/>
            <w:tcBorders/>
            <w:tcMar>
              <w:bottom w:w="0" w:type="dxa"/>
            </w:tcMar>
            <w:vAlign w:val="center"/>
          </w:tcPr>
          <w:p>
            <w:pPr>
              <w:pStyle w:val="TableContents"/>
              <w:bidi w:val="0"/>
              <w:spacing w:before="0" w:after="283"/>
              <w:jc w:val="right"/>
              <w:rPr/>
            </w:pPr>
            <w:r>
              <w:rPr/>
              <w:t>1,073,087</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the pending issuance of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1,350,470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Proceeds from PIPE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275" w:type="dxa"/>
            <w:tcBorders/>
            <w:tcMar>
              <w:bottom w:w="0" w:type="dxa"/>
            </w:tcMar>
            <w:vAlign w:val="center"/>
          </w:tcPr>
          <w:p>
            <w:pPr>
              <w:pStyle w:val="TableContents"/>
              <w:bidi w:val="0"/>
              <w:spacing w:before="0" w:after="283"/>
              <w:jc w:val="right"/>
              <w:rPr/>
            </w:pPr>
            <w:r>
              <w:rPr/>
              <w:t>29,700,000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79"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jc w:val="left"/>
              <w:rPr>
                <w:spacing w:val="4"/>
              </w:rPr>
            </w:pPr>
            <w:r>
              <w:rPr>
                <w:spacing w:val="4"/>
              </w:rPr>
              <w:t xml:space="preserve">Cash assumed on reverse recapitalization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1,939,457</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bottom w:val="single" w:sz="2" w:space="0" w:color="FFFFFF"/>
            </w:tcBorders>
            <w:vAlign w:val="center"/>
          </w:tcPr>
          <w:p>
            <w:pPr>
              <w:pStyle w:val="TableContents"/>
              <w:bidi w:val="0"/>
              <w:spacing w:before="0" w:after="0"/>
              <w:jc w:val="left"/>
              <w:rPr/>
            </w:pPr>
            <w:r>
              <w:rPr>
                <w:spacing w:val="-4"/>
              </w:rPr>
              <w:t>Net cash provided by financing activities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240" w:type="dxa"/>
            <w:tcBorders>
              <w:bottom w:val="single" w:sz="2" w:space="0" w:color="000000"/>
            </w:tcBorders>
            <w:vAlign w:val="center"/>
          </w:tcPr>
          <w:p>
            <w:pPr>
              <w:pStyle w:val="TableContents"/>
              <w:bidi w:val="0"/>
              <w:spacing w:before="0" w:after="283"/>
              <w:jc w:val="right"/>
              <w:rPr/>
            </w:pPr>
            <w:r>
              <w:rPr/>
              <w:t>​</w:t>
            </w:r>
          </w:p>
        </w:tc>
        <w:tc>
          <w:tcPr>
            <w:tcW w:w="1275" w:type="dxa"/>
            <w:tcBorders>
              <w:bottom w:val="single" w:sz="2" w:space="0" w:color="000000"/>
            </w:tcBorders>
            <w:vAlign w:val="center"/>
          </w:tcPr>
          <w:p>
            <w:pPr>
              <w:pStyle w:val="TableContents"/>
              <w:bidi w:val="0"/>
              <w:spacing w:before="0" w:after="283"/>
              <w:jc w:val="right"/>
              <w:rPr/>
            </w:pPr>
            <w:r>
              <w:rPr/>
              <w:t>31,639,457</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50" w:type="dxa"/>
            <w:tcBorders>
              <w:bottom w:val="single" w:sz="2" w:space="0" w:color="000000"/>
            </w:tcBorders>
            <w:vAlign w:val="center"/>
          </w:tcPr>
          <w:p>
            <w:pPr>
              <w:pStyle w:val="TableContents"/>
              <w:bidi w:val="0"/>
              <w:spacing w:before="0" w:after="283"/>
              <w:jc w:val="right"/>
              <w:rPr/>
            </w:pPr>
            <w:r>
              <w:rPr/>
              <w:t>​</w:t>
            </w:r>
          </w:p>
        </w:tc>
        <w:tc>
          <w:tcPr>
            <w:tcW w:w="1179" w:type="dxa"/>
            <w:tcBorders>
              <w:bottom w:val="single" w:sz="2" w:space="0" w:color="000000"/>
            </w:tcBorders>
            <w:vAlign w:val="center"/>
          </w:tcPr>
          <w:p>
            <w:pPr>
              <w:pStyle w:val="TableContents"/>
              <w:bidi w:val="0"/>
              <w:spacing w:before="0" w:after="283"/>
              <w:jc w:val="right"/>
              <w:rPr/>
            </w:pPr>
            <w:r>
              <w:rPr/>
              <w:t>2,423,557</w:t>
            </w:r>
          </w:p>
        </w:tc>
        <w:tc>
          <w:tcPr>
            <w:tcW w:w="120"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jc w:val="left"/>
              <w:rPr>
                <w:b/>
              </w:rPr>
            </w:pPr>
            <w:r>
              <w:rPr>
                <w:b/>
                <w:spacing w:val="-4"/>
              </w:rPr>
              <w:t>Effects of foreign exchange on cash</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(7,648)</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b/>
              </w:rPr>
            </w:pPr>
            <w:r>
              <w:rPr>
                <w:b/>
                <w:spacing w:val="-4"/>
              </w:rPr>
              <w:t>Increase in cash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275" w:type="dxa"/>
            <w:tcBorders/>
            <w:tcMar>
              <w:bottom w:w="0" w:type="dxa"/>
            </w:tcMar>
            <w:vAlign w:val="center"/>
          </w:tcPr>
          <w:p>
            <w:pPr>
              <w:pStyle w:val="TableContents"/>
              <w:bidi w:val="0"/>
              <w:spacing w:before="0" w:after="283"/>
              <w:jc w:val="right"/>
              <w:rPr/>
            </w:pPr>
            <w:r>
              <w:rPr/>
              <w:t>30,131,854</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79" w:type="dxa"/>
            <w:tcBorders/>
            <w:tcMar>
              <w:bottom w:w="0" w:type="dxa"/>
            </w:tcMar>
            <w:vAlign w:val="center"/>
          </w:tcPr>
          <w:p>
            <w:pPr>
              <w:pStyle w:val="TableContents"/>
              <w:bidi w:val="0"/>
              <w:spacing w:before="0" w:after="283"/>
              <w:jc w:val="right"/>
              <w:rPr/>
            </w:pPr>
            <w:r>
              <w:rPr/>
              <w:t>1,337,660</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jc w:val="left"/>
              <w:rPr>
                <w:b/>
              </w:rPr>
            </w:pPr>
            <w:r>
              <w:rPr>
                <w:b/>
                <w:spacing w:val="-4"/>
              </w:rPr>
              <w:t>Cash and restricted cash, beginning of period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1,301,928</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717</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pPr>
            <w:r>
              <w:rPr>
                <w:spacing w:val="-4"/>
              </w:rPr>
              <w:t>Cash and restricted cash, end of period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bottom w:val="double" w:sz="8" w:space="0" w:color="000000"/>
            </w:tcBorders>
            <w:vAlign w:val="center"/>
          </w:tcPr>
          <w:p>
            <w:pPr>
              <w:pStyle w:val="TableContents"/>
              <w:bidi w:val="0"/>
              <w:spacing w:before="0" w:after="283"/>
              <w:jc w:val="right"/>
              <w:rPr/>
            </w:pPr>
            <w:r>
              <w:rPr/>
              <w:t>$</w:t>
            </w:r>
          </w:p>
        </w:tc>
        <w:tc>
          <w:tcPr>
            <w:tcW w:w="1275" w:type="dxa"/>
            <w:tcBorders>
              <w:bottom w:val="double" w:sz="8" w:space="0" w:color="000000"/>
            </w:tcBorders>
            <w:vAlign w:val="center"/>
          </w:tcPr>
          <w:p>
            <w:pPr>
              <w:pStyle w:val="TableContents"/>
              <w:bidi w:val="0"/>
              <w:spacing w:before="0" w:after="283"/>
              <w:jc w:val="right"/>
              <w:rPr/>
            </w:pPr>
            <w:r>
              <w:rPr/>
              <w:t>31,433,782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bottom w:val="double" w:sz="8" w:space="0" w:color="000000"/>
            </w:tcBorders>
            <w:vAlign w:val="center"/>
          </w:tcPr>
          <w:p>
            <w:pPr>
              <w:pStyle w:val="TableContents"/>
              <w:bidi w:val="0"/>
              <w:spacing w:before="0" w:after="283"/>
              <w:jc w:val="right"/>
              <w:rPr/>
            </w:pPr>
            <w:r>
              <w:rPr/>
              <w:t>$</w:t>
            </w:r>
          </w:p>
        </w:tc>
        <w:tc>
          <w:tcPr>
            <w:tcW w:w="1179" w:type="dxa"/>
            <w:tcBorders>
              <w:bottom w:val="double" w:sz="8" w:space="0" w:color="000000"/>
            </w:tcBorders>
            <w:vAlign w:val="center"/>
          </w:tcPr>
          <w:p>
            <w:pPr>
              <w:pStyle w:val="TableContents"/>
              <w:bidi w:val="0"/>
              <w:spacing w:before="0" w:after="283"/>
              <w:jc w:val="right"/>
              <w:rPr/>
            </w:pPr>
            <w:r>
              <w:rPr/>
              <w:t>1,338,377</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283"/>
              <w:jc w:val="left"/>
              <w:rPr/>
            </w:pPr>
            <w:r>
              <w:rPr>
                <w:spacing w:val="-4"/>
              </w:rPr>
              <w:t>Presented as: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275" w:type="dxa"/>
            <w:tcBorders/>
            <w:tcMar>
              <w:bottom w:w="0" w:type="dxa"/>
            </w:tcMar>
            <w:vAlign w:val="center"/>
          </w:tcPr>
          <w:p>
            <w:pPr>
              <w:pStyle w:val="TableContents"/>
              <w:bidi w:val="0"/>
              <w:spacing w:before="0" w:after="283"/>
              <w:jc w:val="right"/>
              <w:rPr/>
            </w:pPr>
            <w:r>
              <w:rPr/>
              <w:t>31,292,822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179" w:type="dxa"/>
            <w:tcBorders/>
            <w:tcMar>
              <w:bottom w:w="0" w:type="dxa"/>
            </w:tcMar>
            <w:vAlign w:val="center"/>
          </w:tcPr>
          <w:p>
            <w:pPr>
              <w:pStyle w:val="TableContents"/>
              <w:bidi w:val="0"/>
              <w:spacing w:before="0" w:after="283"/>
              <w:jc w:val="right"/>
              <w:rPr/>
            </w:pPr>
            <w:r>
              <w:rPr/>
              <w:t>1,338,377</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jc w:val="left"/>
              <w:rPr>
                <w:spacing w:val="4"/>
              </w:rPr>
            </w:pPr>
            <w:r>
              <w:rPr>
                <w:spacing w:val="4"/>
              </w:rPr>
              <w:t xml:space="preserve">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140,960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pPr>
            <w:r>
              <w:rPr>
                <w:spacing w:val="-4"/>
              </w:rPr>
              <w:t>Cash and restricted cash, end of period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bottom w:val="double" w:sz="8" w:space="0" w:color="000000"/>
            </w:tcBorders>
            <w:vAlign w:val="center"/>
          </w:tcPr>
          <w:p>
            <w:pPr>
              <w:pStyle w:val="TableContents"/>
              <w:bidi w:val="0"/>
              <w:spacing w:before="0" w:after="283"/>
              <w:jc w:val="right"/>
              <w:rPr/>
            </w:pPr>
            <w:r>
              <w:rPr/>
              <w:t>$</w:t>
            </w:r>
          </w:p>
        </w:tc>
        <w:tc>
          <w:tcPr>
            <w:tcW w:w="1275" w:type="dxa"/>
            <w:tcBorders>
              <w:bottom w:val="double" w:sz="8" w:space="0" w:color="000000"/>
            </w:tcBorders>
            <w:vAlign w:val="center"/>
          </w:tcPr>
          <w:p>
            <w:pPr>
              <w:pStyle w:val="TableContents"/>
              <w:bidi w:val="0"/>
              <w:spacing w:before="0" w:after="283"/>
              <w:jc w:val="right"/>
              <w:rPr/>
            </w:pPr>
            <w:r>
              <w:rPr/>
              <w:t>31,433,782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bottom w:val="double" w:sz="8" w:space="0" w:color="000000"/>
            </w:tcBorders>
            <w:vAlign w:val="center"/>
          </w:tcPr>
          <w:p>
            <w:pPr>
              <w:pStyle w:val="TableContents"/>
              <w:bidi w:val="0"/>
              <w:spacing w:before="0" w:after="283"/>
              <w:jc w:val="right"/>
              <w:rPr/>
            </w:pPr>
            <w:r>
              <w:rPr/>
              <w:t>$</w:t>
            </w:r>
          </w:p>
        </w:tc>
        <w:tc>
          <w:tcPr>
            <w:tcW w:w="1179" w:type="dxa"/>
            <w:tcBorders>
              <w:bottom w:val="double" w:sz="8" w:space="0" w:color="000000"/>
            </w:tcBorders>
            <w:vAlign w:val="center"/>
          </w:tcPr>
          <w:p>
            <w:pPr>
              <w:pStyle w:val="TableContents"/>
              <w:bidi w:val="0"/>
              <w:spacing w:before="0" w:after="283"/>
              <w:jc w:val="right"/>
              <w:rPr/>
            </w:pPr>
            <w:r>
              <w:rPr/>
              <w:t>1,338,377</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283"/>
              <w:jc w:val="left"/>
              <w:rPr/>
            </w:pPr>
            <w:r>
              <w:rPr>
                <w:spacing w:val="-4"/>
              </w:rPr>
              <w:t>Supplemental disclosure of non-cash information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17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Share issuance costs in accounts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bottom w:val="double" w:sz="8" w:space="0" w:color="000000"/>
            </w:tcBorders>
            <w:vAlign w:val="center"/>
          </w:tcPr>
          <w:p>
            <w:pPr>
              <w:pStyle w:val="TableContents"/>
              <w:bidi w:val="0"/>
              <w:spacing w:before="0" w:after="283"/>
              <w:jc w:val="right"/>
              <w:rPr/>
            </w:pPr>
            <w:r>
              <w:rPr/>
              <w:t>$</w:t>
            </w:r>
          </w:p>
        </w:tc>
        <w:tc>
          <w:tcPr>
            <w:tcW w:w="1275" w:type="dxa"/>
            <w:tcBorders>
              <w:bottom w:val="double" w:sz="8" w:space="0" w:color="000000"/>
            </w:tcBorders>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bottom w:val="double" w:sz="8" w:space="0" w:color="000000"/>
            </w:tcBorders>
            <w:vAlign w:val="center"/>
          </w:tcPr>
          <w:p>
            <w:pPr>
              <w:pStyle w:val="TableContents"/>
              <w:bidi w:val="0"/>
              <w:spacing w:before="0" w:after="283"/>
              <w:jc w:val="right"/>
              <w:rPr/>
            </w:pPr>
            <w:r>
              <w:rPr/>
              <w:t>$</w:t>
            </w:r>
          </w:p>
        </w:tc>
        <w:tc>
          <w:tcPr>
            <w:tcW w:w="1179" w:type="dxa"/>
            <w:tcBorders>
              <w:bottom w:val="double" w:sz="8" w:space="0" w:color="000000"/>
            </w:tcBorders>
            <w:vAlign w:val="center"/>
          </w:tcPr>
          <w:p>
            <w:pPr>
              <w:pStyle w:val="TableContents"/>
              <w:bidi w:val="0"/>
              <w:spacing w:before="0" w:after="283"/>
              <w:jc w:val="right"/>
              <w:rPr/>
            </w:pPr>
            <w:r>
              <w:rPr/>
              <w:t>4,929</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jc w:val="left"/>
              <w:rPr>
                <w:spacing w:val="4"/>
              </w:rPr>
            </w:pPr>
            <w:r>
              <w:rPr>
                <w:spacing w:val="4"/>
              </w:rPr>
              <w:t xml:space="preserve">Share issuance costs settled in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bottom w:val="double" w:sz="8" w:space="0" w:color="000000"/>
            </w:tcBorders>
            <w:shd w:fill="CCEEFF" w:val="clear"/>
            <w:vAlign w:val="center"/>
          </w:tcPr>
          <w:p>
            <w:pPr>
              <w:pStyle w:val="TableContents"/>
              <w:bidi w:val="0"/>
              <w:spacing w:before="0" w:after="283"/>
              <w:jc w:val="right"/>
              <w:rPr/>
            </w:pPr>
            <w:r>
              <w:rPr/>
              <w:t>$</w:t>
            </w:r>
          </w:p>
        </w:tc>
        <w:tc>
          <w:tcPr>
            <w:tcW w:w="1275" w:type="dxa"/>
            <w:tcBorders>
              <w:bottom w:val="double" w:sz="8" w:space="0" w:color="000000"/>
            </w:tcBorders>
            <w:shd w:fill="CCEEFF" w:val="clear"/>
            <w:vAlign w:val="center"/>
          </w:tcPr>
          <w:p>
            <w:pPr>
              <w:pStyle w:val="TableContents"/>
              <w:bidi w:val="0"/>
              <w:spacing w:before="0" w:after="283"/>
              <w:jc w:val="right"/>
              <w:rPr/>
            </w:pPr>
            <w:r>
              <w:rPr/>
              <w:t>3,000,000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bottom w:val="double" w:sz="8" w:space="0" w:color="000000"/>
            </w:tcBorders>
            <w:shd w:fill="CCEEFF" w:val="clear"/>
            <w:vAlign w:val="center"/>
          </w:tcPr>
          <w:p>
            <w:pPr>
              <w:pStyle w:val="TableContents"/>
              <w:bidi w:val="0"/>
              <w:spacing w:before="0" w:after="283"/>
              <w:jc w:val="right"/>
              <w:rPr/>
            </w:pPr>
            <w:r>
              <w:rPr/>
              <w:t>$</w:t>
            </w:r>
          </w:p>
        </w:tc>
        <w:tc>
          <w:tcPr>
            <w:tcW w:w="1179" w:type="dxa"/>
            <w:tcBorders>
              <w:bottom w:val="double" w:sz="8" w:space="0" w:color="000000"/>
            </w:tcBorders>
            <w:shd w:fill="CCEEFF" w:val="cle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Share issuance for acquisition of Oregon Energy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bottom w:val="double" w:sz="8" w:space="0" w:color="000000"/>
            </w:tcBorders>
            <w:vAlign w:val="center"/>
          </w:tcPr>
          <w:p>
            <w:pPr>
              <w:pStyle w:val="TableContents"/>
              <w:bidi w:val="0"/>
              <w:spacing w:before="0" w:after="283"/>
              <w:jc w:val="right"/>
              <w:rPr/>
            </w:pPr>
            <w:r>
              <w:rPr/>
              <w:t>$</w:t>
            </w:r>
          </w:p>
        </w:tc>
        <w:tc>
          <w:tcPr>
            <w:tcW w:w="1275" w:type="dxa"/>
            <w:tcBorders>
              <w:bottom w:val="double" w:sz="8" w:space="0" w:color="000000"/>
            </w:tcBorders>
            <w:vAlign w:val="center"/>
          </w:tcPr>
          <w:p>
            <w:pPr>
              <w:pStyle w:val="TableContents"/>
              <w:bidi w:val="0"/>
              <w:spacing w:before="0" w:after="283"/>
              <w:jc w:val="right"/>
              <w:rPr/>
            </w:pPr>
            <w:r>
              <w:rPr/>
              <w:t>11,959,827</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bottom w:val="double" w:sz="8" w:space="0" w:color="000000"/>
            </w:tcBorders>
            <w:vAlign w:val="center"/>
          </w:tcPr>
          <w:p>
            <w:pPr>
              <w:pStyle w:val="TableContents"/>
              <w:bidi w:val="0"/>
              <w:spacing w:before="0" w:after="283"/>
              <w:jc w:val="right"/>
              <w:rPr/>
            </w:pPr>
            <w:r>
              <w:rPr/>
              <w:t>$</w:t>
            </w:r>
          </w:p>
        </w:tc>
        <w:tc>
          <w:tcPr>
            <w:tcW w:w="1179" w:type="dxa"/>
            <w:tcBorders>
              <w:bottom w:val="double" w:sz="8" w:space="0" w:color="000000"/>
            </w:tcBorders>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Conversion of redeemable common stock into nonredeemable common </w:t>
            </w:r>
            <w:r>
              <w:rPr/>
              <w:br/>
            </w:r>
            <w:r>
              <w:rPr>
                <w:spacing w:val="4"/>
              </w:rPr>
              <w:t xml:space="preserve">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bottom w:val="double" w:sz="8" w:space="0" w:color="000000"/>
            </w:tcBorders>
            <w:shd w:fill="CCEEFF" w:val="clear"/>
            <w:vAlign w:val="center"/>
          </w:tcPr>
          <w:p>
            <w:pPr>
              <w:pStyle w:val="TableContents"/>
              <w:bidi w:val="0"/>
              <w:spacing w:before="0" w:after="283"/>
              <w:jc w:val="right"/>
              <w:rPr/>
            </w:pPr>
            <w:r>
              <w:rPr/>
              <w:t>$</w:t>
            </w:r>
          </w:p>
        </w:tc>
        <w:tc>
          <w:tcPr>
            <w:tcW w:w="1275" w:type="dxa"/>
            <w:tcBorders>
              <w:bottom w:val="double" w:sz="8" w:space="0" w:color="000000"/>
            </w:tcBorders>
            <w:shd w:fill="CCEEFF" w:val="clear"/>
            <w:vAlign w:val="center"/>
          </w:tcPr>
          <w:p>
            <w:pPr>
              <w:pStyle w:val="TableContents"/>
              <w:bidi w:val="0"/>
              <w:spacing w:before="0" w:after="283"/>
              <w:jc w:val="right"/>
              <w:rPr/>
            </w:pPr>
            <w:r>
              <w:rPr/>
              <w:t>300,000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bottom w:val="double" w:sz="8" w:space="0" w:color="000000"/>
            </w:tcBorders>
            <w:shd w:fill="CCEEFF" w:val="clear"/>
            <w:vAlign w:val="center"/>
          </w:tcPr>
          <w:p>
            <w:pPr>
              <w:pStyle w:val="TableContents"/>
              <w:bidi w:val="0"/>
              <w:spacing w:before="0" w:after="283"/>
              <w:jc w:val="right"/>
              <w:rPr/>
            </w:pPr>
            <w:r>
              <w:rPr/>
              <w:t>$</w:t>
            </w:r>
          </w:p>
        </w:tc>
        <w:tc>
          <w:tcPr>
            <w:tcW w:w="1179" w:type="dxa"/>
            <w:tcBorders>
              <w:bottom w:val="double" w:sz="8" w:space="0" w:color="000000"/>
            </w:tcBorders>
            <w:shd w:fill="CCEEFF" w:val="cle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Reverse recapitalization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bottom w:val="double" w:sz="8" w:space="0" w:color="000000"/>
            </w:tcBorders>
            <w:vAlign w:val="center"/>
          </w:tcPr>
          <w:p>
            <w:pPr>
              <w:pStyle w:val="TableContents"/>
              <w:bidi w:val="0"/>
              <w:spacing w:before="0" w:after="283"/>
              <w:jc w:val="right"/>
              <w:rPr/>
            </w:pPr>
            <w:r>
              <w:rPr/>
              <w:t>$</w:t>
            </w:r>
          </w:p>
        </w:tc>
        <w:tc>
          <w:tcPr>
            <w:tcW w:w="1275" w:type="dxa"/>
            <w:tcBorders>
              <w:bottom w:val="double" w:sz="8" w:space="0" w:color="000000"/>
            </w:tcBorders>
            <w:vAlign w:val="center"/>
          </w:tcPr>
          <w:p>
            <w:pPr>
              <w:pStyle w:val="TableContents"/>
              <w:bidi w:val="0"/>
              <w:spacing w:before="0" w:after="283"/>
              <w:jc w:val="right"/>
              <w:rPr/>
            </w:pPr>
            <w:r>
              <w:rPr/>
              <w:t>1,991,184</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bottom w:val="double" w:sz="8" w:space="0" w:color="000000"/>
            </w:tcBorders>
            <w:vAlign w:val="center"/>
          </w:tcPr>
          <w:p>
            <w:pPr>
              <w:pStyle w:val="TableContents"/>
              <w:bidi w:val="0"/>
              <w:spacing w:before="0" w:after="283"/>
              <w:jc w:val="right"/>
              <w:rPr/>
            </w:pPr>
            <w:r>
              <w:rPr/>
              <w:t>$</w:t>
            </w:r>
          </w:p>
        </w:tc>
        <w:tc>
          <w:tcPr>
            <w:tcW w:w="1179" w:type="dxa"/>
            <w:tcBorders>
              <w:bottom w:val="double" w:sz="8" w:space="0" w:color="000000"/>
            </w:tcBorders>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2" w:type="dxa"/>
            <w:tcBorders/>
            <w:shd w:fill="CCEEFF" w:val="clear"/>
            <w:tcMar>
              <w:bottom w:w="0" w:type="dxa"/>
            </w:tcMar>
            <w:vAlign w:val="center"/>
          </w:tcPr>
          <w:p>
            <w:pPr>
              <w:pStyle w:val="TableContents"/>
              <w:bidi w:val="0"/>
              <w:spacing w:before="0" w:after="0"/>
              <w:jc w:val="left"/>
              <w:rPr>
                <w:spacing w:val="4"/>
              </w:rPr>
            </w:pPr>
            <w:r>
              <w:rPr>
                <w:spacing w:val="4"/>
              </w:rPr>
              <w:t xml:space="preserve">Accretion of mezzanine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bottom w:val="double" w:sz="8" w:space="0" w:color="000000"/>
            </w:tcBorders>
            <w:shd w:fill="CCEEFF" w:val="clear"/>
            <w:vAlign w:val="center"/>
          </w:tcPr>
          <w:p>
            <w:pPr>
              <w:pStyle w:val="TableContents"/>
              <w:bidi w:val="0"/>
              <w:spacing w:before="0" w:after="283"/>
              <w:jc w:val="right"/>
              <w:rPr/>
            </w:pPr>
            <w:r>
              <w:rPr/>
              <w:t>$</w:t>
            </w:r>
          </w:p>
        </w:tc>
        <w:tc>
          <w:tcPr>
            <w:tcW w:w="1275" w:type="dxa"/>
            <w:tcBorders>
              <w:bottom w:val="double" w:sz="8" w:space="0" w:color="000000"/>
            </w:tcBorders>
            <w:shd w:fill="CCEEFF" w:val="clear"/>
            <w:vAlign w:val="center"/>
          </w:tcPr>
          <w:p>
            <w:pPr>
              <w:pStyle w:val="TableContents"/>
              <w:bidi w:val="0"/>
              <w:spacing w:before="0" w:after="283"/>
              <w:jc w:val="right"/>
              <w:rPr/>
            </w:pPr>
            <w:r>
              <w:rPr/>
              <w:t>8,480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bottom w:val="double" w:sz="8" w:space="0" w:color="000000"/>
            </w:tcBorders>
            <w:shd w:fill="CCEEFF" w:val="clear"/>
            <w:vAlign w:val="center"/>
          </w:tcPr>
          <w:p>
            <w:pPr>
              <w:pStyle w:val="TableContents"/>
              <w:bidi w:val="0"/>
              <w:spacing w:before="0" w:after="283"/>
              <w:jc w:val="right"/>
              <w:rPr/>
            </w:pPr>
            <w:r>
              <w:rPr/>
              <w:t>$</w:t>
            </w:r>
          </w:p>
        </w:tc>
        <w:tc>
          <w:tcPr>
            <w:tcW w:w="1179" w:type="dxa"/>
            <w:tcBorders>
              <w:bottom w:val="double" w:sz="8" w:space="0" w:color="000000"/>
            </w:tcBorders>
            <w:shd w:fill="CCEEFF" w:val="cle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2" w:type="dxa"/>
            <w:tcBorders/>
            <w:tcMar>
              <w:bottom w:w="0" w:type="dxa"/>
            </w:tcMar>
            <w:vAlign w:val="center"/>
          </w:tcPr>
          <w:p>
            <w:pPr>
              <w:pStyle w:val="TableContents"/>
              <w:bidi w:val="0"/>
              <w:spacing w:before="0" w:after="0"/>
              <w:jc w:val="left"/>
              <w:rPr>
                <w:spacing w:val="4"/>
              </w:rPr>
            </w:pPr>
            <w:r>
              <w:rPr>
                <w:spacing w:val="4"/>
              </w:rPr>
              <w:t xml:space="preserve">Consultant bonus settled by issuance of bonus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bottom w:val="double" w:sz="8" w:space="0" w:color="000000"/>
            </w:tcBorders>
            <w:vAlign w:val="center"/>
          </w:tcPr>
          <w:p>
            <w:pPr>
              <w:pStyle w:val="TableContents"/>
              <w:bidi w:val="0"/>
              <w:spacing w:before="0" w:after="283"/>
              <w:jc w:val="right"/>
              <w:rPr/>
            </w:pPr>
            <w:r>
              <w:rPr/>
              <w:t>$</w:t>
            </w:r>
          </w:p>
        </w:tc>
        <w:tc>
          <w:tcPr>
            <w:tcW w:w="1275" w:type="dxa"/>
            <w:tcBorders>
              <w:bottom w:val="double" w:sz="8" w:space="0" w:color="000000"/>
            </w:tcBorders>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bottom w:val="double" w:sz="8" w:space="0" w:color="000000"/>
            </w:tcBorders>
            <w:vAlign w:val="center"/>
          </w:tcPr>
          <w:p>
            <w:pPr>
              <w:pStyle w:val="TableContents"/>
              <w:bidi w:val="0"/>
              <w:spacing w:before="0" w:after="283"/>
              <w:jc w:val="right"/>
              <w:rPr/>
            </w:pPr>
            <w:r>
              <w:rPr/>
              <w:t>$</w:t>
            </w:r>
          </w:p>
        </w:tc>
        <w:tc>
          <w:tcPr>
            <w:tcW w:w="1179" w:type="dxa"/>
            <w:tcBorders>
              <w:bottom w:val="double" w:sz="8" w:space="0" w:color="000000"/>
            </w:tcBorders>
            <w:vAlign w:val="center"/>
          </w:tcPr>
          <w:p>
            <w:pPr>
              <w:pStyle w:val="TableContents"/>
              <w:bidi w:val="0"/>
              <w:spacing w:before="0" w:after="283"/>
              <w:jc w:val="right"/>
              <w:rPr/>
            </w:pPr>
            <w:r>
              <w:rPr/>
              <w:t>183,000</w:t>
            </w:r>
          </w:p>
        </w:tc>
        <w:tc>
          <w:tcPr>
            <w:tcW w:w="12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20" w:before="100" w:after="283"/>
        <w:ind w:left="1393"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The accompanying notes are an integral part of these unaudited condensed consolidated interim financial statements.</w:t>
      </w:r>
      <w:r>
        <w:rPr>
          <w:rFonts w:ascii="Times New Roman;Times;serif" w:hAnsi="Times New Roman;Times;serif"/>
          <w:b w:val="false"/>
          <w:i w:val="false"/>
          <w:caps w:val="false"/>
          <w:smallCaps w:val="false"/>
          <w:color w:val="000000"/>
          <w:sz w:val="18"/>
        </w:rPr>
        <w:t>​</w:t>
      </w:r>
      <w:r>
        <w:rPr>
          <w:rFonts w:ascii="Times New Roman;Times;serif" w:hAnsi="Times New Roman;Times;serif"/>
          <w:b w:val="false"/>
          <w:i w:val="false"/>
          <w:caps w:val="false"/>
          <w:smallCaps w:val="false"/>
          <w:color w:val="000000"/>
          <w:spacing w:val="4"/>
          <w:sz w:val="18"/>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NTCC"/>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EAGLE NUCLEAR ENERGY CORP.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CONDENSED CONSOLIDATED INTERIM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FOR THE THREE MONTHS ENDED FEBRUARY 28, 2026 AND 2025 (UNAUDITED)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NATURE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Eagle Nuclear Energy Corp. (the “Company”) was incorporated on December 19, 2025, under the laws of the state of Nevada. The Company’s corporate office is located at 5470 Kietzke Lane, Suite 300, Reno, NV 89511. The Company is a next-generation nuclear energy company that seeks to combine domestic uranium exploration and development with proprietary small modular reactor (“SMR”) technology, with the intent of establishing a vertically integrated business model, combining uranium exploration, extraction, and production with the design and development of modular nuclear reactors intended to supply reliable power for industrial use and electricity grids. Through this approach, the Company aims to support energy security and meet growing demand for clean and scalable nuclear power solutions.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not yet commenced its principal operations as of February 28,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was incorporated as a subsidiary of Spring Valley Acquisition Corp. II (“SVII”), a special purpose acquisition corporation incorporated in the Cayman Islands, for the purpose of completing a reverse acquisition between Eagle Energy Metals Corp. (“Eagle Energy”) and SVII (Note 4), pursuant to an agreement and plan of merger (“BCA”) entered into on July 30, 2025 and as amended on September 29, 2025. On February 24, 2026, the Company, Eagle Energy, and SVII completed the reverse acquisition transaction. The transaction is also referred to as the “de-SPAC” transaction. Each of Eagle Energy and SVII became a subsidiary of the Company as part of the de-SPAC transaction. Eagle Energy is deemed as the acquirer for accounting purposes, and therefore its assets, liabilities and operations are included in the unaudited condensed consolidated interim financial statements at their historical carrying values. The Company’s operations are considered to be a continuance of the business and operations of Eagle Energy, with the Company’s operations being included beginning on February 24, 2026, the closing date of the de-SPAC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public company and its common stock and public warrants are listed on The Nasdaq Capital Market tier of The Nasdaq Stock Market LLC (“Nasdaq”) under the ticker symbols of “NUCL” and “NUCLW,”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the Company also completed the acquisition of Oregon Energy LLC (“Oregon Energy”) (Note 5), through which the Company acquired mining claims to explore and extract uranium (Aurora Uranium Project (“AUP”)) located in Malheur County, Oregon, approximately 16 kilometers northwest of McDermitt, Nevada. As of February 28, 2026, the Company holds 263 unpatented lode mining claims and 71 unpatented placer mining claims in the AUP, along with 27 unpatented placer mining claims in Humboldt County, Nevada. These claims collectively cover an area of approximately 43 square kilometers.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Risks and Uncertainties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of global financial markets and a recession or market correction, including the ongoing military conflicts between Russia and Ukraine and the related sanctions imposed against Russia as well as the geopolitical instability in the Middle East, the significant tariffs imposed by the United States on imports from other countries and other global macroeconomic factors such as inflation and rising interest rates, could reduce the Company’s ability to access capital, which could in the future negatively affect the Company’s liquidity and could materially affect the Company’s business and the value of its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   Basis of accounting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unaudited condensed consolidated interim financial statements are presented using the accrual basis of accounting in accordance with accounting principles generally accepted in the United States of America (“U.S. GAAP”) and pursuant to the rules and regulations of the U.S. Securities and Exchange Commission (“SEC”) for financial information. References to the “ASC” hereafter refer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Accounting Standards Codification established by the Financial Accounting Standards Board (“FASB”) as the source of authoritative U.S. GAAP.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unaudited condensed consolidated interim financial statements include the accounts of the Company, and its wholly-owned subsidiaries, Eagle Energy and SVII, following the reverse recapitalization as further discussed in Note 4, as well as its wholly-owned subsidiary, Oregon Energy, following the acquisition of Oregon Energy as further discussed in Note 5. For periods prior to the reverse recapitalization and acquisition of Oregon Energy, the reported share and per share amounts have been retroactively adjusted as further discussed below in this note, with the exception of authorized shares. Accompanying financial statements as of November 30, 2025, and for the three months ended February 28, 2025, include only the accounts of Eagle Energy.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condensed consolidated interim financial statements for the three months ended February 28, 2026 reflected (i) the historical operating results of Eagle Energy prior to the de-SPAC transaction, (ii) the combined results of the Company, Eagle Energy, SVII, and Oregon Energy following the closing of the de-SPAC transaction and acquisition, (iii) the assets and liabilities of Eagle Energy at their historical costs, (iv) the assets and liabilities of the Company and SVII at their historical costs, (v) the assets and liabilities assumed from acquisition of Oregon Energy as recognized in an asset acquisition as further discussed in Note 5, and (vi) the Company’s equity structure for all periods presented.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opinion of management, all adjustments, consisting of normal recurring adjustments, considered necessary for a fair presentation of the results of the interim periods, but are not necessarily indicative of the results of operations to be anticipated for the full year ending November 30, 2026. These unaudited condensed consolidated interim financial statements should be read in conjunction with the financial statements for the year ended November 30, 2025 and the period from December 14, 2023 (inception) through November 30, 2024, included in the proxy statement/prospectus filed pursuant to Rule 424(b)(3) of the Securities Act of 1933, as amended (File No. 333-290631) on February 2,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previously disclosed in its financial statements for the year ended November 30, 2025 and the period from December 14, 2023 (inception) through November 30, 2024, that a material uncertainty existed that cast doubt on the Company’s ability to continue as a going concern within one year after the date of the financial statements being issued. During the three months ended February 28, 2026, as a result of the successful completion of the de-SPAC transaction (Note 4) and a PIPE financing (Note 12), the Company possesses sufficient financial resources to sustain its operations. Thus the previously disclosed material uncertainty regarding the Company’s ability to continue as a going concern has been alleviated.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   Basis of consolidation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unaudited condensed consolidated interim financial statements include the accounts of the Company and entities controlled by the Company. Control exists when the Company has the power, directly or indirectly, to govern the financial and operating policies of an entity so as to obtain benefits from its activities. All intercompany balances and transactions, income and expenses have been eliminated upon consolidation.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28, 2026, the Company’s subsidiaries were: </w:t>
      </w:r>
    </w:p>
    <w:tbl>
      <w:tblPr>
        <w:tblW w:w="6466" w:type="dxa"/>
        <w:jc w:val="left"/>
        <w:tblInd w:w="1393" w:type="dxa"/>
        <w:tblLayout w:type="fixed"/>
        <w:tblCellMar>
          <w:top w:w="0" w:type="dxa"/>
          <w:left w:w="0" w:type="dxa"/>
          <w:bottom w:w="50" w:type="dxa"/>
          <w:right w:w="0" w:type="dxa"/>
        </w:tblCellMar>
      </w:tblPr>
      <w:tblGrid>
        <w:gridCol w:w="1987"/>
        <w:gridCol w:w="109"/>
        <w:gridCol w:w="109"/>
        <w:gridCol w:w="2698"/>
        <w:gridCol w:w="109"/>
        <w:gridCol w:w="109"/>
        <w:gridCol w:w="163"/>
        <w:gridCol w:w="163"/>
        <w:gridCol w:w="700"/>
        <w:gridCol w:w="165"/>
        <w:gridCol w:w="154"/>
      </w:tblGrid>
      <w:tr>
        <w:trPr/>
        <w:tc>
          <w:tcPr>
            <w:tcW w:w="1987" w:type="dxa"/>
            <w:tcBorders>
              <w:bottom w:val="single" w:sz="2" w:space="0" w:color="000000"/>
            </w:tcBorders>
            <w:vAlign w:val="center"/>
          </w:tcPr>
          <w:p>
            <w:pPr>
              <w:pStyle w:val="TableContents"/>
              <w:bidi w:val="0"/>
              <w:spacing w:before="0" w:after="0"/>
              <w:jc w:val="left"/>
              <w:rPr>
                <w:spacing w:val="-3"/>
              </w:rPr>
            </w:pPr>
            <w:r>
              <w:rPr>
                <w:spacing w:val="-3"/>
              </w:rPr>
              <w:t xml:space="preserve">Name of subsidiary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98" w:type="dxa"/>
            <w:tcBorders>
              <w:bottom w:val="single" w:sz="2" w:space="0" w:color="000000"/>
            </w:tcBorders>
            <w:vAlign w:val="center"/>
          </w:tcPr>
          <w:p>
            <w:pPr>
              <w:pStyle w:val="TableContents"/>
              <w:bidi w:val="0"/>
              <w:spacing w:before="0" w:after="0"/>
              <w:jc w:val="center"/>
              <w:rPr>
                <w:spacing w:val="-3"/>
              </w:rPr>
            </w:pPr>
            <w:r>
              <w:rPr>
                <w:spacing w:val="-3"/>
              </w:rPr>
              <w:t xml:space="preserve">Place of incorporation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Ownership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87" w:type="dxa"/>
            <w:tcBorders/>
            <w:shd w:fill="CCEEFF" w:val="clear"/>
            <w:tcMar>
              <w:bottom w:w="0" w:type="dxa"/>
            </w:tcMar>
            <w:vAlign w:val="center"/>
          </w:tcPr>
          <w:p>
            <w:pPr>
              <w:pStyle w:val="TableContents"/>
              <w:bidi w:val="0"/>
              <w:spacing w:before="0" w:after="0"/>
              <w:jc w:val="left"/>
              <w:rPr>
                <w:spacing w:val="4"/>
              </w:rPr>
            </w:pPr>
            <w:r>
              <w:rPr>
                <w:spacing w:val="4"/>
              </w:rPr>
              <w:t xml:space="preserve">Eagle Energy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98" w:type="dxa"/>
            <w:tcBorders/>
            <w:shd w:fill="CCEEFF" w:val="clear"/>
            <w:tcMar>
              <w:bottom w:w="0" w:type="dxa"/>
            </w:tcMar>
            <w:vAlign w:val="center"/>
          </w:tcPr>
          <w:p>
            <w:pPr>
              <w:pStyle w:val="TableContents"/>
              <w:bidi w:val="0"/>
              <w:spacing w:before="0" w:after="0"/>
              <w:jc w:val="left"/>
              <w:rPr>
                <w:spacing w:val="4"/>
              </w:rPr>
            </w:pPr>
            <w:r>
              <w:rPr>
                <w:spacing w:val="4"/>
              </w:rPr>
              <w:t xml:space="preserve">Nevada, the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center"/>
              <w:rPr/>
            </w:pPr>
            <w:r>
              <w:rPr/>
              <w:t>​</w:t>
            </w:r>
          </w:p>
        </w:tc>
        <w:tc>
          <w:tcPr>
            <w:tcW w:w="700" w:type="dxa"/>
            <w:tcBorders/>
            <w:shd w:fill="CCEEFF" w:val="clear"/>
            <w:tcMar>
              <w:bottom w:w="0" w:type="dxa"/>
            </w:tcMar>
            <w:vAlign w:val="center"/>
          </w:tcPr>
          <w:p>
            <w:pPr>
              <w:pStyle w:val="TableContents"/>
              <w:bidi w:val="0"/>
              <w:spacing w:before="0" w:after="283"/>
              <w:jc w:val="right"/>
              <w:rPr/>
            </w:pPr>
            <w:r>
              <w:rPr/>
              <w:t>100%</w:t>
            </w:r>
          </w:p>
        </w:tc>
        <w:tc>
          <w:tcPr>
            <w:tcW w:w="16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87" w:type="dxa"/>
            <w:tcBorders/>
            <w:tcMar>
              <w:bottom w:w="0" w:type="dxa"/>
            </w:tcMar>
            <w:vAlign w:val="center"/>
          </w:tcPr>
          <w:p>
            <w:pPr>
              <w:pStyle w:val="TableContents"/>
              <w:bidi w:val="0"/>
              <w:spacing w:before="0" w:after="0"/>
              <w:jc w:val="left"/>
              <w:rPr>
                <w:spacing w:val="4"/>
              </w:rPr>
            </w:pPr>
            <w:r>
              <w:rPr>
                <w:spacing w:val="4"/>
              </w:rPr>
              <w:t xml:space="preserve">Oregon Energy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98" w:type="dxa"/>
            <w:tcBorders/>
            <w:tcMar>
              <w:bottom w:w="0" w:type="dxa"/>
            </w:tcMar>
            <w:vAlign w:val="center"/>
          </w:tcPr>
          <w:p>
            <w:pPr>
              <w:pStyle w:val="TableContents"/>
              <w:bidi w:val="0"/>
              <w:spacing w:before="0" w:after="0"/>
              <w:jc w:val="left"/>
              <w:rPr>
                <w:spacing w:val="4"/>
              </w:rPr>
            </w:pPr>
            <w:r>
              <w:rPr>
                <w:spacing w:val="4"/>
              </w:rPr>
              <w:t xml:space="preserve">Oregon, the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center"/>
              <w:rPr/>
            </w:pPr>
            <w:r>
              <w:rPr/>
              <w:t>​</w:t>
            </w:r>
          </w:p>
        </w:tc>
        <w:tc>
          <w:tcPr>
            <w:tcW w:w="700" w:type="dxa"/>
            <w:tcBorders/>
            <w:tcMar>
              <w:bottom w:w="0" w:type="dxa"/>
            </w:tcMar>
            <w:vAlign w:val="center"/>
          </w:tcPr>
          <w:p>
            <w:pPr>
              <w:pStyle w:val="TableContents"/>
              <w:bidi w:val="0"/>
              <w:spacing w:before="0" w:after="283"/>
              <w:jc w:val="right"/>
              <w:rPr/>
            </w:pPr>
            <w:r>
              <w:rPr/>
              <w:t>100%</w:t>
            </w:r>
          </w:p>
        </w:tc>
        <w:tc>
          <w:tcPr>
            <w:tcW w:w="16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87" w:type="dxa"/>
            <w:tcBorders/>
            <w:shd w:fill="CCEEFF" w:val="clear"/>
            <w:tcMar>
              <w:bottom w:w="0" w:type="dxa"/>
            </w:tcMar>
            <w:vAlign w:val="center"/>
          </w:tcPr>
          <w:p>
            <w:pPr>
              <w:pStyle w:val="TableContents"/>
              <w:bidi w:val="0"/>
              <w:spacing w:before="0" w:after="0"/>
              <w:jc w:val="left"/>
              <w:rPr>
                <w:spacing w:val="4"/>
              </w:rPr>
            </w:pPr>
            <w:r>
              <w:rPr>
                <w:spacing w:val="4"/>
              </w:rPr>
              <w:t xml:space="preserve">SVII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98" w:type="dxa"/>
            <w:tcBorders/>
            <w:shd w:fill="CCEEFF" w:val="clear"/>
            <w:tcMar>
              <w:bottom w:w="0" w:type="dxa"/>
            </w:tcMar>
            <w:vAlign w:val="center"/>
          </w:tcPr>
          <w:p>
            <w:pPr>
              <w:pStyle w:val="TableContents"/>
              <w:bidi w:val="0"/>
              <w:spacing w:before="0" w:after="283"/>
              <w:jc w:val="left"/>
              <w:rPr>
                <w:spacing w:val="4"/>
              </w:rPr>
            </w:pPr>
            <w:r>
              <w:rPr>
                <w:spacing w:val="4"/>
              </w:rPr>
              <w:t xml:space="preserve">Cayman Islands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center"/>
              <w:rPr/>
            </w:pPr>
            <w:r>
              <w:rPr/>
              <w:t>​</w:t>
            </w:r>
          </w:p>
        </w:tc>
        <w:tc>
          <w:tcPr>
            <w:tcW w:w="700" w:type="dxa"/>
            <w:tcBorders/>
            <w:shd w:fill="CCEEFF" w:val="clear"/>
            <w:tcMar>
              <w:bottom w:w="0" w:type="dxa"/>
            </w:tcMar>
            <w:vAlign w:val="center"/>
          </w:tcPr>
          <w:p>
            <w:pPr>
              <w:pStyle w:val="TableContents"/>
              <w:bidi w:val="0"/>
              <w:spacing w:before="0" w:after="283"/>
              <w:jc w:val="right"/>
              <w:rPr/>
            </w:pPr>
            <w:r>
              <w:rPr/>
              <w:t>100%</w:t>
            </w:r>
          </w:p>
        </w:tc>
        <w:tc>
          <w:tcPr>
            <w:tcW w:w="16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6"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   Retroactive application of reverse recapitalization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w:t>
      </w:r>
      <w:r>
        <w:rPr>
          <w:rFonts w:ascii="Times New Roman;Times;serif" w:hAnsi="Times New Roman;Times;serif"/>
          <w:b/>
          <w:i w:val="false"/>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discussed in Note 4, the de-SPAC transaction on February 24, 2026 was accounted for as a recapitalization of equity structure, with Eagle Energy being deemed as the accounting acquirer. Accordingly, these unaudited condensed consolidated interim financial statements of the Company represent a continuance of the business and operations of Eagle Energy, with the de-SPAC transaction being treated as the equivalent of Eagle Energy issuing stock for the net assets of SVII and the Company, accompanied by a recapitalization.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of Eagle Energy for all periods prior to the de-SPAC transaction have been retrospectively adjusted using the exchange ratios that were established in accordance with the BCA, as further disclosed in Note 4. </w:t>
      </w:r>
    </w:p>
    <w:p>
      <w:pPr>
        <w:pStyle w:val="TextBody"/>
        <w:bidi w:val="0"/>
        <w:spacing w:lineRule="atLeast" w:line="24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Retroactive application of reverse recapitalization to the consolidated balance sheet as of November 30,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conform to the retroactive application of the reverse recapitalization (Note 4), the common stock and redeemable common stock within the consolidated balance sheets have been retroactively converted to common stock of the Company using the exchange ratios, with common stock of the Company having par value of $0.0001. Accordingly, the Company reclassified $9,131 of common stock par value of Eagle Energy to additional paid-in capital at November 30, 2025. </w:t>
      </w:r>
    </w:p>
    <w:p>
      <w:pPr>
        <w:pStyle w:val="TextBody"/>
        <w:bidi w:val="0"/>
        <w:spacing w:lineRule="atLeast" w:line="24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Retroactive application of reverse recapitalization to the unaudited condensed consolidated interim statements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weighted average shares during the three months ended February 28, 2025 have been recalculated to give effect to the retroactive application of the reverse recapitalization (Note 4) on the outstanding shares. Accordingly, the basic and diluted weighted-average number of shares outstanding of Eagle Energy common stock were retroactively converted to common stock of the Company. </w:t>
      </w:r>
    </w:p>
    <w:p>
      <w:pPr>
        <w:pStyle w:val="TextBody"/>
        <w:bidi w:val="0"/>
        <w:spacing w:lineRule="atLeast" w:line="23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Retroactive application of reverse recapitalization to the unaudited condensed consolidated interim statements of changes in stockholders’ equity (deficit)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condensed consolidated interim statement of changes in stockholders’ equity (deficit) for the three months ended February 28, 2025 has been recast to reflect the number of common stock of the Company issued to Eagle Energy stockholders in connection with the reverse recapitalization (Note 4) at the par value of the common stock of the Company of $0.0001. The number of shares of Eagle Energy common stock have been recast after giving effect to the exchange ratio in connection with the reverse recapitalization, and the related impacts to common stock and additional paid-in capital for the change in par value.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   Variable interest entities (“VIE”)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VIE is an entity that does not have sufficient equity at risk to finance its activities without additional subordinated financial support or is structured such that equity investors lack the ability to control the entity’s activities or do not substantially participate in the gains and losses of the entity. Upon inception of a contractual agreement, and thereafter, if a reconsideration event occurs, the Company performs an assessment to determine whether the arrangement contains a variable interest in an entity and whether that entity is a VIE. The primary beneficiary of a VIE is the party that has both the power to direct the activities that most significantly impact the VIE’s economic performance and the obligation to absorb losses or the right to receive benefits from the VIE that could potentially be significant to the VIE. Where the Company concludes that it is the primary beneficiary of a VIE, the Company consolidates the accounts of that VIE. As of February 28, 2026, the Company is not involved in any contractual agreements that give rise to a VIE.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   Functional and presentation currencies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condensed consolidated interim financial statements of the Company are presented in United States dollars. The functional currency of the Company is the United States dollar; however, a significant amount of the Company’s vendors and expenses have been paid in Canadian dollars and the difference between the amount paid in Canadian dollars and reported in United States dollars related to the exchange rates on the dates such payments were made has been reflected in the accompanying unaudited condensed consolidated interim statements of operations of the respective period within the account labeled loss on foreign currency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   Emerging growth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an “Emerging Growth Company”, as defined in Section 2(a) of the Securities Act of 1933, as amended (the “Securities Act”), as modified by the Jumpstart Our Business Startups Act of 2012 (the “JOBS Act”), and it has taken advantage of certain exemptions that are not applicable to other public companies that are not emerging growth companies including, but not limited to, not being required to comply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Section 102(b) (1)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reporting standards. The JOBS Act provides that a company can elect to opt out of the extended transition period and comply with the requirements that apply to non-emerging growth companies but any such election to opt out is irrevocable.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elected not to opt out of such extended transition period which means that when a standard is issued or revised and it has different application dates for public and private companies, the Company, as an emerging growth company, can adopt the new or revised standard at the time private companies adopt the new or revised standard.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   Use of estimates and judgments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unaudited condensed consolidated interim financial statements in conformity with U.S. GAAP requires the Company’s management to make judgments, estimates and assumptions, about future events that may impact the amounts reported in the unaudited condensed consolidated interim financial statements. Actual results may differ from these estimates. Estimates and underlying assumptions are reviewed on an ongoing basis. Revisions to estimates are made prospectively.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Key estimates made by management with respect to the areas noted have been disclosed in the notes to the unaudited condensed consolidated interim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SUMMARY OF SIGNIFICANT ACCOUNTING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accounting policies applied in the preparation of these unaudited condensed consolidated interim financial statements are consistent with the accounting policies disclosed in Note 3 of the audited financial statements for the year ended November 30, 2025 and the period from December 14, 2023 (inception) through November 30, 2024, except for adoption of new accounting policies, as described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Reverse recapitalization with SVII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Eagle Energy was a legal acquiree in the BCA, and the Company is the legal parent of both SVII and Eagle Energy after the de-SPAC transaction, for financial accounting and reporting purposes under U.S. GAAP, Eagle Energy is the accounting acquirer and the de-SPAC transaction is accounted for as a “reverse recapitalization”.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accounting purposes, the de-SPAC transaction was treated as the equivalent of Eagle Energy issuing stock for the net assets of SVII and the Company, accompanied by a recapitalization. The Company was determined to be a vehicle through which the reverse recapitalization is effected. The net assets of SVII and the Company are stated at historical cost, and no goodwill or other intangible assets were recorded. As Eagle Energy was deemed the accounting acquirer in the de-SPAC transaction, the Company is a continuation of the operations of Eagle Energy. The historical financial statements of Eagle Energy are the historical financial statements of the Company upon the consummation of the de-SPAC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 structure has been retroactively restated in all comparative periods up to the consummation of the de-SPAC transaction to reflect the number of shares of the Company’s common stock, $0.0001 par value per share, issued to Eagle Energy stockholders in connection with the Business Combination. As such, the shares and corresponding capital amounts and earnings per share have been retroactively restated as shares reflecting the exchange ratios established in the de-SPAC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Acquisition of Oregon Energy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Oregon Energy was assessed under ASC Topic 805, </w:t>
      </w:r>
      <w:r>
        <w:rPr>
          <w:rFonts w:ascii="Times New Roman;Times;serif" w:hAnsi="Times New Roman;Times;serif"/>
          <w:b w:val="false"/>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(“ASC 805”), and did not qualify as a business because no substantive process was acquired. Accordingly, the acquisition of Oregon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Energy was accounted for as an asset acquisition. Asset acquisitions are accounted for by using a cost accumulation model, with no recognition of goodwill. The purchase price was allocated to the identifiable assets acquired and liabilities assumed based on their relative fair value as of the acquisition date, excluding assets or liabilities for which the subsequent accounting under other U.S. GAAP principles would result in recognition of an immediate gain or loss.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Restricted cash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cash consists of cash balances that are legally or contractually restricted as to withdrawal or use and are not available for general operations. Such amounts are classified as current or noncurrent based on the expected timing of release.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 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dividends are recognized in accordance with the contractual terms of the underlying instruments. Dividends on preferred stock are recorded when declared; however, for cumulative preferred stock, dividends are accrued as they are earned, whether or not declared, if the terms require payment upon redemption or otherwise create an obligation. Such dividends are generally recorded as a reduction of retained earnings (or decrease in additional paid-in capital, if no retained earnings are available) and, where applicable, as an increase to the carrying amount of the preferred stock. Dividends payable in cash, common stock, or additional preferred shares are measured based on the fair value or contractual amount at the declaration date, depending on the nature of the arrangement. Preferred stock dividends reduce income available to common stockholders in the calculation of earnings per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is recorded at cost, less accumulated depreciation and impairment losses. The Company provides for depreciation over the expected useful life of the assets. No depreciation is recorded on assets prior to their initial commencement of operations. Costs include expenditures to acquire or construct an asset, including the preparation of an asset to commence operations, installation, commissioning, and certification costs. Subsequent costs are capitalized, either to the asset’s carrying amount or recognized as a separate asset when it is probable that the Company will derive future economic benefits, generally from extending an asset’s life or enhancing its productive capacity. The estimated useful lives of assets are reviewed by management and adjusted if necessary. Repair and maintenance costs are charged to profit or loss during the period they are incurred.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Depreciation is recorded using the straight-line method over the estimated useful lives of the assets as follows: </w:t>
      </w:r>
    </w:p>
    <w:tbl>
      <w:tblPr>
        <w:tblW w:w="4240" w:type="dxa"/>
        <w:jc w:val="left"/>
        <w:tblInd w:w="1393" w:type="dxa"/>
        <w:tblLayout w:type="fixed"/>
        <w:tblCellMar>
          <w:top w:w="0" w:type="dxa"/>
          <w:left w:w="0" w:type="dxa"/>
          <w:bottom w:w="0" w:type="dxa"/>
          <w:right w:w="0" w:type="dxa"/>
        </w:tblCellMar>
      </w:tblPr>
      <w:tblGrid>
        <w:gridCol w:w="124"/>
        <w:gridCol w:w="2763"/>
        <w:gridCol w:w="109"/>
        <w:gridCol w:w="109"/>
        <w:gridCol w:w="981"/>
        <w:gridCol w:w="154"/>
      </w:tblGrid>
      <w:tr>
        <w:trPr/>
        <w:tc>
          <w:tcPr>
            <w:tcW w:w="124" w:type="dxa"/>
            <w:tcBorders/>
            <w:shd w:fill="CCEEFF" w:val="clear"/>
            <w:vAlign w:val="center"/>
          </w:tcPr>
          <w:p>
            <w:pPr>
              <w:pStyle w:val="TableContents"/>
              <w:bidi w:val="0"/>
              <w:spacing w:before="0" w:after="283"/>
              <w:jc w:val="left"/>
              <w:rPr/>
            </w:pPr>
            <w:r>
              <w:rPr/>
              <w:t>​</w:t>
            </w:r>
          </w:p>
        </w:tc>
        <w:tc>
          <w:tcPr>
            <w:tcW w:w="2763" w:type="dxa"/>
            <w:tcBorders/>
            <w:shd w:fill="CCEEFF" w:val="clear"/>
            <w:vAlign w:val="center"/>
          </w:tcPr>
          <w:p>
            <w:pPr>
              <w:pStyle w:val="TableContents"/>
              <w:bidi w:val="0"/>
              <w:spacing w:lineRule="atLeast" w:line="200" w:before="0" w:after="0"/>
              <w:ind w:left="200" w:right="0" w:hanging="0"/>
              <w:jc w:val="left"/>
              <w:rPr>
                <w:spacing w:val="4"/>
              </w:rPr>
            </w:pPr>
            <w:r>
              <w:rPr>
                <w:spacing w:val="4"/>
              </w:rPr>
              <w:t xml:space="preserve">Buildings </w: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127000" cy="350520"/>
                      <wp:effectExtent l="0" t="0" r="0" b="0"/>
                      <wp:wrapSquare wrapText="right"/>
                      <wp:docPr id="297"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981" w:type="dxa"/>
            <w:tcBorders/>
            <w:shd w:fill="CCEEFF" w:val="clear"/>
            <w:vAlign w:val="center"/>
          </w:tcPr>
          <w:p>
            <w:pPr>
              <w:pStyle w:val="TableContents"/>
              <w:bidi w:val="0"/>
              <w:spacing w:before="0" w:after="283"/>
              <w:jc w:val="left"/>
              <w:rPr>
                <w:spacing w:val="4"/>
              </w:rPr>
            </w:pPr>
            <w:r>
              <w:rPr>
                <w:spacing w:val="4"/>
              </w:rPr>
              <w:t xml:space="preserve">20 years </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63" w:type="dxa"/>
            <w:tcBorders/>
            <w:vAlign w:val="center"/>
          </w:tcPr>
          <w:p>
            <w:pPr>
              <w:pStyle w:val="TableContents"/>
              <w:bidi w:val="0"/>
              <w:spacing w:lineRule="atLeast" w:line="200" w:before="0" w:after="0"/>
              <w:ind w:left="200" w:right="0" w:hanging="0"/>
              <w:jc w:val="left"/>
              <w:rPr>
                <w:spacing w:val="4"/>
              </w:rPr>
            </w:pPr>
            <w:r>
              <w:rPr>
                <w:spacing w:val="4"/>
              </w:rPr>
              <w:t xml:space="preserve">Furniture and equipment </w: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127000" cy="350520"/>
                      <wp:effectExtent l="0" t="0" r="0" b="0"/>
                      <wp:wrapSquare wrapText="right"/>
                      <wp:docPr id="298"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1" w:type="dxa"/>
            <w:tcBorders/>
            <w:vAlign w:val="center"/>
          </w:tcPr>
          <w:p>
            <w:pPr>
              <w:pStyle w:val="TableContents"/>
              <w:bidi w:val="0"/>
              <w:spacing w:before="0" w:after="283"/>
              <w:jc w:val="left"/>
              <w:rPr>
                <w:spacing w:val="4"/>
              </w:rPr>
            </w:pPr>
            <w:r>
              <w:rPr>
                <w:spacing w:val="4"/>
              </w:rPr>
              <w:t xml:space="preserve">5 years </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2763" w:type="dxa"/>
            <w:tcBorders/>
            <w:shd w:fill="CCEEFF" w:val="clear"/>
            <w:vAlign w:val="center"/>
          </w:tcPr>
          <w:p>
            <w:pPr>
              <w:pStyle w:val="TableContents"/>
              <w:bidi w:val="0"/>
              <w:spacing w:lineRule="atLeast" w:line="200" w:before="0" w:after="0"/>
              <w:ind w:left="200" w:right="0" w:hanging="0"/>
              <w:jc w:val="left"/>
              <w:rPr>
                <w:spacing w:val="4"/>
              </w:rPr>
            </w:pPr>
            <w:r>
              <w:rPr>
                <w:spacing w:val="4"/>
              </w:rPr>
              <w:t xml:space="preserve">Moveable equipment </w: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127000" cy="350520"/>
                      <wp:effectExtent l="0" t="0" r="0" b="0"/>
                      <wp:wrapSquare wrapText="right"/>
                      <wp:docPr id="299"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981" w:type="dxa"/>
            <w:tcBorders/>
            <w:shd w:fill="CCEEFF" w:val="clear"/>
            <w:vAlign w:val="center"/>
          </w:tcPr>
          <w:p>
            <w:pPr>
              <w:pStyle w:val="TableContents"/>
              <w:bidi w:val="0"/>
              <w:spacing w:before="0" w:after="283"/>
              <w:jc w:val="left"/>
              <w:rPr>
                <w:spacing w:val="4"/>
              </w:rPr>
            </w:pPr>
            <w:r>
              <w:rPr>
                <w:spacing w:val="4"/>
              </w:rPr>
              <w:t xml:space="preserve">4 years </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63" w:type="dxa"/>
            <w:tcBorders/>
            <w:vAlign w:val="center"/>
          </w:tcPr>
          <w:p>
            <w:pPr>
              <w:pStyle w:val="TableContents"/>
              <w:bidi w:val="0"/>
              <w:spacing w:lineRule="atLeast" w:line="200" w:before="0" w:after="0"/>
              <w:ind w:left="200" w:right="0" w:hanging="0"/>
              <w:jc w:val="left"/>
              <w:rPr>
                <w:spacing w:val="4"/>
              </w:rPr>
            </w:pPr>
            <w:r>
              <w:rPr>
                <w:spacing w:val="4"/>
              </w:rPr>
              <w:t xml:space="preserve">Other equipment </w:t>
            </w:r>
            <w:r>
              <mc:AlternateContent>
                <mc:Choice Requires="wps">
                  <w:drawing>
                    <wp:anchor behindDoc="0" distT="0" distB="0" distL="0" distR="0" simplePos="0" locked="0" layoutInCell="1" allowOverlap="1" relativeHeight="304">
                      <wp:simplePos x="0" y="0"/>
                      <wp:positionH relativeFrom="column">
                        <wp:align>left</wp:align>
                      </wp:positionH>
                      <wp:positionV relativeFrom="line">
                        <wp:posOffset>635</wp:posOffset>
                      </wp:positionV>
                      <wp:extent cx="127000" cy="350520"/>
                      <wp:effectExtent l="0" t="0" r="0" b="0"/>
                      <wp:wrapSquare wrapText="right"/>
                      <wp:docPr id="300"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1" w:type="dxa"/>
            <w:tcBorders/>
            <w:vAlign w:val="center"/>
          </w:tcPr>
          <w:p>
            <w:pPr>
              <w:pStyle w:val="TableContents"/>
              <w:bidi w:val="0"/>
              <w:spacing w:before="0" w:after="283"/>
              <w:jc w:val="left"/>
              <w:rPr/>
            </w:pPr>
            <w:r>
              <w:rPr>
                <w:spacing w:val="4"/>
              </w:rPr>
              <w:t>5 years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Redeemable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accounts for its redeemable preferred stock in accordance with the guidance of ASC Topic No. 480, </w:t>
      </w:r>
      <w:r>
        <w:rPr>
          <w:rFonts w:ascii="Times New Roman;Times;serif" w:hAnsi="Times New Roman;Times;serif"/>
          <w:b w:val="false"/>
          <w:i/>
          <w:caps w:val="false"/>
          <w:smallCaps w:val="false"/>
          <w:color w:val="000000"/>
          <w:spacing w:val="4"/>
          <w:sz w:val="20"/>
        </w:rPr>
        <w:t>Distinguishing Liabilities from Equity</w:t>
      </w:r>
      <w:r>
        <w:rPr>
          <w:rFonts w:ascii="Times New Roman;Times;serif" w:hAnsi="Times New Roman;Times;serif"/>
          <w:b w:val="false"/>
          <w:i w:val="false"/>
          <w:caps w:val="false"/>
          <w:smallCaps w:val="false"/>
          <w:color w:val="000000"/>
          <w:spacing w:val="4"/>
          <w:sz w:val="20"/>
        </w:rPr>
        <w:t xml:space="preserve"> (“ASC 480”). Preferred stock that is mandatorily redeemable is classified as a liability and measured at the present value of the redemption amount. Conditionally redeemable preferred stock (including preferred stock that is redeemable at the option of the holder or upon the occurrence of events not solely within the Company’s control) is classified as temporary equity. At all other times, preferred stock is classified as stockholders’ equity. The Company’s redeemable preferred stock contains redemption features that are outside of its control and subject to uncertain future events. Accordingly, such redeemable preferred stock is presented at the present value of its redemption amount as mezzanine equity, outside of the stockholders’ equity section of the Company’s unaudited condensed consolidated interim balance sheets. Accretion of the present value of redemption amounts is recognized to retained earnings or additional paid-in capital.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accounts for warrants issued in connection with the Private Investment in Public Entity (“PIPE”) financing in accordance with ASC 480. Warrants are evaluated to determine whether they meet the definition of a freestanding financial instrument and whether they qualify for equity classification. Warrants that do not meet the criteria for equity classification, including those that are not indexed to the Company’s own stock or contain provisions that could require net cash settlement, are classified as derivative liabilities. This assessment, which requires the use of professional judgment, is conducted at the time of warrant issuance and as of each subsequent quarterly period end date while the warrants are outstanding. Such warrants are initially recognized at fair value on the date of issuance, with proceeds from the financing allocated first to the warrants based on their fair value and the residual allocated to the associated equity instruments. Subsequent to initial recognition, the derivative warrant liabilities are remeasured at fair value at each reporting date, with changes in fair value recognized in the unaudited condensed consolidated interim statement of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REVERSE RECAPITALIZATION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2025, and as amended on September 29, 2025, Eagle Energy, SVII, and the Company entered into the BCA. Pursuant to the BCA, on February 24, 2026, the Company, Eagle Energy, and SVII completed a business combination through which each of Eagle Energy and SVII amalgamated with a wholly owned subsidiary of the Company domiciled in Nevada and the Cayman Islands, respectively, with Eagle Energy and SVII surviving the amalgamations.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BCA, former shareholders of nonredeemable common stock of Eagle Energy received 18,888,289 shares of common stock in the Company, representing a consolidation on a 5.8349:1 basis. The former shareholder of redeemable common stock of Eagle Energy received 2,750,000 shares of common stock in the Company, representing a consolidation on a 5.8:1 basis. Reported shares of common stock, weighted average number of shares outstanding, and loss per share available to the Company’s common stock, prior to the de-SPAC transaction, have been retroactively restated to reflect the exchange ratio established in the BCA. Amounts in common stock and additional paid-in capital were recast for reallocation, in order to reflect the par value of shares post-consolidation.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former shareholders of SVII received 3,630,051 shares of common stock in the Company, representing a one-for-one exchange of Class A and Class B ordinary shares of SVII. The Company also issued 2,299,982 shares of common stock to holders of 23,000,000 rights of SVII, which were converted into shares of SVII on a 10:1 basis upon the consummation of a business combination by SVII. A total of 5,930,033 shares of common stock are retained by former shareholders of SVII.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de-SPAC transaction, the Company also issued 300,000 shares of common stock to a service provider in consideration for transaction costs associated with the de-SPAC transaction, and was included in additional paid-in capital of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completion of the de-SPAC transaction, the Company also issued 29,700 shares of Series A Cumulative Convertible Preferred Stock, which are initially convertible into common stock on a 1-to-84.18 basis, and 2,500,000 PIPE warrants, and received $29,700,000 from a PIPE financing (Note 12).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completion of the de-SPAC transaction, the Company also issued 1,710,991 shares of common stock to Aurora Energy Metals Ltd. (“Aurora Energy”) for the acquisition of Oregon Energy (Note 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de-SPAC transaction, the Company also assumed 18,500,000 warrants of SVII (Note 12). The Company also issued 2,422,133 warrants (Note 12) to the sponsor of SVII (the “SVII Sponsor”) in exchange for settlement of $2,422,133 of loans owed by SVII to the SVII Sponsor, at $1.00 per warrant, which has been accounted for as a capital transaction with a shareholder of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in accordance with the </w:t>
      </w:r>
      <w:r>
        <w:rPr>
          <w:rFonts w:ascii="Times New Roman;Times;serif" w:hAnsi="Times New Roman;Times;serif"/>
          <w:b w:val="false"/>
          <w:i w:val="false"/>
          <w:caps/>
          <w:color w:val="000000"/>
          <w:spacing w:val="4"/>
          <w:sz w:val="20"/>
        </w:rPr>
        <w:t>BCA</w:t>
      </w:r>
      <w:r>
        <w:rPr>
          <w:rFonts w:ascii="Times New Roman;Times;serif" w:hAnsi="Times New Roman;Times;serif"/>
          <w:b w:val="false"/>
          <w:i w:val="false"/>
          <w:caps w:val="false"/>
          <w:smallCaps w:val="false"/>
          <w:color w:val="000000"/>
          <w:spacing w:val="4"/>
          <w:sz w:val="20"/>
        </w:rPr>
        <w:t xml:space="preserve">, certain former shareholders of Eagle Energy will have the contingent right to receive, in aggregate, 1,500,000 shares of common stock (the “Earnout Shares”), if at any time before February 24, 2031 (the “Earnout Period”), the VWAP (as defined in the BCA) of the shares of common stock of the Company equals or exceeds $16.00 for any 20 trading days within a period of 30 consecutive trading days (the “Earnout Target”), or if a change of control transaction occurs during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954"/>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Earnout Period, and the Earnout Target was not already met. The Company evaluated the Earnout Shares under ASC 815-40, </w:t>
      </w:r>
      <w:r>
        <w:rPr>
          <w:rFonts w:ascii="Times New Roman;Times;serif" w:hAnsi="Times New Roman;Times;serif"/>
          <w:b w:val="false"/>
          <w:i/>
          <w:caps w:val="false"/>
          <w:smallCaps w:val="false"/>
          <w:color w:val="000000"/>
          <w:spacing w:val="4"/>
          <w:sz w:val="20"/>
        </w:rPr>
        <w:t>Derivatives and Hedging — Contracts in Entity’s Own Equity</w:t>
      </w:r>
      <w:r>
        <w:rPr>
          <w:rFonts w:ascii="Times New Roman;Times;serif" w:hAnsi="Times New Roman;Times;serif"/>
          <w:b w:val="false"/>
          <w:i w:val="false"/>
          <w:caps w:val="false"/>
          <w:smallCaps w:val="false"/>
          <w:color w:val="000000"/>
          <w:spacing w:val="4"/>
          <w:sz w:val="20"/>
        </w:rPr>
        <w:t xml:space="preserve">, and concluded the Earnout Shares meet the definition of an equity instrument, and accordingly will be accounted for as part of additional paid-in capital. </w:t>
      </w:r>
    </w:p>
    <w:p>
      <w:pPr>
        <w:pStyle w:val="TextBody"/>
        <w:bidi w:val="0"/>
        <w:spacing w:lineRule="atLeast" w:line="250" w:before="22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following the completion of the de-SPAC transaction, the former holders of Eagle Energy shares had a 67.45% ownership interest of the Company, inclusive of conversion impact of the Series A Cumulative Convertible Preferred Stock. As a result of the de-SPAC transaction, the former shareholders of Eagle Energy acquired control of the Company, thereby constituting a reverse recapitalization. </w:t>
      </w:r>
    </w:p>
    <w:p>
      <w:pPr>
        <w:pStyle w:val="TextBody"/>
        <w:bidi w:val="0"/>
        <w:spacing w:lineRule="atLeast" w:line="250" w:before="22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de-SPAC transaction was accounted for as a capital transaction of Eagle Energy and equivalent to the issuance of shares by Eagle Energy for the net assets of SVII and the Company, accompanied by a recapitalization, as SVII did not qualify as a business according to the definition of ASC 805, and met the definition of a non-operating public shell. The Company was determined to be a vehicle through which the reverse recapitalization is effected. As a result, the transaction has been accounted for as a reverse recapitalization with Eagle Energy being identified as the acquirer, and SVII and the Company being treated as the accounting acquiree. Eagle Energy is the continuing entity. </w:t>
      </w:r>
    </w:p>
    <w:p>
      <w:pPr>
        <w:pStyle w:val="TextBody"/>
        <w:bidi w:val="0"/>
        <w:spacing w:lineRule="atLeast" w:line="250" w:before="22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following the de-SPAC transaction, the board of directors of the Company consisted of five members, four of whom were designated by Eagle Energy and one designated by SVII. In addition, the senior management of Eagle Energy became the senior management of the Company. </w:t>
      </w:r>
    </w:p>
    <w:p>
      <w:pPr>
        <w:pStyle w:val="TextBody"/>
        <w:bidi w:val="0"/>
        <w:spacing w:lineRule="atLeast" w:line="250" w:before="22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summarizes the common stock outstanding immediately following the de-SPAC transaction, on February 24, 2026: </w:t>
      </w:r>
    </w:p>
    <w:tbl>
      <w:tblPr>
        <w:tblW w:w="8812" w:type="dxa"/>
        <w:jc w:val="left"/>
        <w:tblInd w:w="1393" w:type="dxa"/>
        <w:tblLayout w:type="fixed"/>
        <w:tblCellMar>
          <w:top w:w="0" w:type="dxa"/>
          <w:left w:w="0" w:type="dxa"/>
          <w:bottom w:w="28" w:type="dxa"/>
          <w:right w:w="0" w:type="dxa"/>
        </w:tblCellMar>
      </w:tblPr>
      <w:tblGrid>
        <w:gridCol w:w="5243"/>
        <w:gridCol w:w="109"/>
        <w:gridCol w:w="109"/>
        <w:gridCol w:w="124"/>
        <w:gridCol w:w="124"/>
        <w:gridCol w:w="1363"/>
        <w:gridCol w:w="124"/>
        <w:gridCol w:w="109"/>
        <w:gridCol w:w="109"/>
        <w:gridCol w:w="109"/>
        <w:gridCol w:w="109"/>
        <w:gridCol w:w="913"/>
        <w:gridCol w:w="109"/>
        <w:gridCol w:w="158"/>
      </w:tblGrid>
      <w:tr>
        <w:trPr/>
        <w:tc>
          <w:tcPr>
            <w:tcW w:w="52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of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243" w:type="dxa"/>
            <w:tcBorders/>
            <w:shd w:fill="CCEEFF" w:val="clear"/>
            <w:tcMar>
              <w:bottom w:w="0" w:type="dxa"/>
            </w:tcMar>
            <w:vAlign w:val="center"/>
          </w:tcPr>
          <w:p>
            <w:pPr>
              <w:pStyle w:val="TableContents"/>
              <w:bidi w:val="0"/>
              <w:spacing w:before="0" w:after="0"/>
              <w:jc w:val="left"/>
              <w:rPr/>
            </w:pPr>
            <w:r>
              <w:rPr>
                <w:spacing w:val="4"/>
              </w:rPr>
              <w:t>SVII Public Shareholders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363" w:type="dxa"/>
            <w:tcBorders/>
            <w:shd w:fill="CCEEFF" w:val="clear"/>
            <w:tcMar>
              <w:bottom w:w="0" w:type="dxa"/>
            </w:tcMar>
            <w:vAlign w:val="center"/>
          </w:tcPr>
          <w:p>
            <w:pPr>
              <w:pStyle w:val="TableContents"/>
              <w:bidi w:val="0"/>
              <w:spacing w:before="0" w:after="283"/>
              <w:jc w:val="right"/>
              <w:rPr/>
            </w:pPr>
            <w:r>
              <w:rPr/>
              <w:t>1,101,717</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243" w:type="dxa"/>
            <w:tcBorders/>
            <w:tcMar>
              <w:bottom w:w="0" w:type="dxa"/>
            </w:tcMar>
            <w:vAlign w:val="center"/>
          </w:tcPr>
          <w:p>
            <w:pPr>
              <w:pStyle w:val="TableContents"/>
              <w:bidi w:val="0"/>
              <w:spacing w:before="0" w:after="0"/>
              <w:jc w:val="left"/>
              <w:rPr>
                <w:spacing w:val="4"/>
              </w:rPr>
            </w:pPr>
            <w:r>
              <w:rPr>
                <w:spacing w:val="4"/>
              </w:rPr>
              <w:t xml:space="preserve">SVII Rights Conversion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63" w:type="dxa"/>
            <w:tcBorders/>
            <w:tcMar>
              <w:bottom w:w="0" w:type="dxa"/>
            </w:tcMar>
            <w:vAlign w:val="center"/>
          </w:tcPr>
          <w:p>
            <w:pPr>
              <w:pStyle w:val="TableContents"/>
              <w:bidi w:val="0"/>
              <w:spacing w:before="0" w:after="283"/>
              <w:jc w:val="right"/>
              <w:rPr/>
            </w:pPr>
            <w:r>
              <w:rPr/>
              <w:t>2,299,982</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7.17%</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243" w:type="dxa"/>
            <w:tcBorders>
              <w:bottom w:val="single" w:sz="2" w:space="0" w:color="CCEEFF"/>
            </w:tcBorders>
            <w:shd w:fill="CCEEFF" w:val="clear"/>
            <w:tcMar>
              <w:bottom w:w="50" w:type="dxa"/>
            </w:tcMar>
            <w:vAlign w:val="center"/>
          </w:tcPr>
          <w:p>
            <w:pPr>
              <w:pStyle w:val="TableContents"/>
              <w:bidi w:val="0"/>
              <w:spacing w:lineRule="atLeast" w:line="142" w:before="0" w:after="0"/>
              <w:jc w:val="left"/>
              <w:rPr/>
            </w:pPr>
            <w:r>
              <w:rPr>
                <w:spacing w:val="4"/>
              </w:rPr>
              <w:t>SVII Founders</w:t>
            </w:r>
            <w:r>
              <w:rPr>
                <w:spacing w:val="3"/>
                <w:sz w:val="13"/>
              </w:rPr>
              <w:t>(2)</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12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63" w:type="dxa"/>
            <w:tcBorders>
              <w:bottom w:val="single" w:sz="2" w:space="0" w:color="000000"/>
            </w:tcBorders>
            <w:shd w:fill="CCEEFF" w:val="clear"/>
            <w:tcMar>
              <w:bottom w:w="50" w:type="dxa"/>
            </w:tcMar>
            <w:vAlign w:val="center"/>
          </w:tcPr>
          <w:p>
            <w:pPr>
              <w:pStyle w:val="TableContents"/>
              <w:bidi w:val="0"/>
              <w:spacing w:before="0" w:after="283"/>
              <w:jc w:val="right"/>
              <w:rPr/>
            </w:pPr>
            <w:r>
              <w:rPr/>
              <w:t>2,528,334</w:t>
            </w:r>
          </w:p>
        </w:tc>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3" w:type="dxa"/>
            <w:tcBorders>
              <w:bottom w:val="single" w:sz="2" w:space="0" w:color="000000"/>
            </w:tcBorders>
            <w:shd w:fill="CCEEFF" w:val="clear"/>
            <w:tcMar>
              <w:bottom w:w="50" w:type="dxa"/>
            </w:tcMar>
            <w:vAlign w:val="center"/>
          </w:tcPr>
          <w:p>
            <w:pPr>
              <w:pStyle w:val="TableContents"/>
              <w:bidi w:val="0"/>
              <w:spacing w:before="0" w:after="283"/>
              <w:jc w:val="right"/>
              <w:rPr/>
            </w:pPr>
            <w:r>
              <w:rPr/>
              <w:t>7.88%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43" w:type="dxa"/>
            <w:tcBorders/>
            <w:tcMar>
              <w:bottom w:w="0" w:type="dxa"/>
            </w:tcMar>
            <w:vAlign w:val="center"/>
          </w:tcPr>
          <w:p>
            <w:pPr>
              <w:pStyle w:val="TableContents"/>
              <w:bidi w:val="0"/>
              <w:spacing w:before="0" w:after="0"/>
              <w:jc w:val="left"/>
              <w:rPr>
                <w:spacing w:val="4"/>
              </w:rPr>
            </w:pPr>
            <w:r>
              <w:rPr>
                <w:spacing w:val="4"/>
              </w:rPr>
              <w:t xml:space="preserve">Total SVII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63" w:type="dxa"/>
            <w:tcBorders/>
            <w:tcMar>
              <w:bottom w:w="0" w:type="dxa"/>
            </w:tcMar>
            <w:vAlign w:val="center"/>
          </w:tcPr>
          <w:p>
            <w:pPr>
              <w:pStyle w:val="TableContents"/>
              <w:bidi w:val="0"/>
              <w:spacing w:before="0" w:after="283"/>
              <w:jc w:val="right"/>
              <w:rPr/>
            </w:pPr>
            <w:r>
              <w:rPr/>
              <w:t>5,930,033</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18.49%</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243" w:type="dxa"/>
            <w:tcBorders/>
            <w:shd w:fill="CCEEFF" w:val="clear"/>
            <w:tcMar>
              <w:bottom w:w="0" w:type="dxa"/>
            </w:tcMar>
            <w:vAlign w:val="center"/>
          </w:tcPr>
          <w:p>
            <w:pPr>
              <w:pStyle w:val="TableContents"/>
              <w:bidi w:val="0"/>
              <w:spacing w:before="0" w:after="0"/>
              <w:jc w:val="left"/>
              <w:rPr>
                <w:spacing w:val="4"/>
              </w:rPr>
            </w:pPr>
            <w:r>
              <w:rPr>
                <w:spacing w:val="4"/>
              </w:rPr>
              <w:t xml:space="preserve">Eagle Energy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363" w:type="dxa"/>
            <w:tcBorders/>
            <w:shd w:fill="CCEEFF" w:val="clear"/>
            <w:tcMar>
              <w:bottom w:w="0" w:type="dxa"/>
            </w:tcMar>
            <w:vAlign w:val="center"/>
          </w:tcPr>
          <w:p>
            <w:pPr>
              <w:pStyle w:val="TableContents"/>
              <w:bidi w:val="0"/>
              <w:spacing w:before="0" w:after="283"/>
              <w:jc w:val="right"/>
              <w:rPr/>
            </w:pPr>
            <w:r>
              <w:rPr/>
              <w:t>21,638,289</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67.45%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243" w:type="dxa"/>
            <w:tcBorders/>
            <w:tcMar>
              <w:bottom w:w="0" w:type="dxa"/>
            </w:tcMar>
            <w:vAlign w:val="center"/>
          </w:tcPr>
          <w:p>
            <w:pPr>
              <w:pStyle w:val="TableContents"/>
              <w:bidi w:val="0"/>
              <w:spacing w:before="0" w:after="0"/>
              <w:jc w:val="left"/>
              <w:rPr>
                <w:spacing w:val="4"/>
              </w:rPr>
            </w:pPr>
            <w:r>
              <w:rPr>
                <w:spacing w:val="4"/>
              </w:rPr>
              <w:t xml:space="preserve">Aurora Energy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63" w:type="dxa"/>
            <w:tcBorders/>
            <w:tcMar>
              <w:bottom w:w="0" w:type="dxa"/>
            </w:tcMar>
            <w:vAlign w:val="center"/>
          </w:tcPr>
          <w:p>
            <w:pPr>
              <w:pStyle w:val="TableContents"/>
              <w:bidi w:val="0"/>
              <w:spacing w:before="0" w:after="283"/>
              <w:jc w:val="right"/>
              <w:rPr/>
            </w:pPr>
            <w:r>
              <w:rPr/>
              <w:t>1,710,991</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5.33%</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24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Shares Issued for Transaction Costs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12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63" w:type="dxa"/>
            <w:tcBorders>
              <w:bottom w:val="single" w:sz="2" w:space="0" w:color="000000"/>
            </w:tcBorders>
            <w:shd w:fill="CCEEFF" w:val="clear"/>
            <w:tcMar>
              <w:bottom w:w="50" w:type="dxa"/>
            </w:tcMar>
            <w:vAlign w:val="center"/>
          </w:tcPr>
          <w:p>
            <w:pPr>
              <w:pStyle w:val="TableContents"/>
              <w:bidi w:val="0"/>
              <w:spacing w:before="0" w:after="283"/>
              <w:jc w:val="right"/>
              <w:rPr/>
            </w:pPr>
            <w:r>
              <w:rPr/>
              <w:t>300,000</w:t>
            </w:r>
          </w:p>
        </w:tc>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3" w:type="dxa"/>
            <w:tcBorders>
              <w:bottom w:val="single" w:sz="2" w:space="0" w:color="000000"/>
            </w:tcBorders>
            <w:shd w:fill="CCEEFF" w:val="clear"/>
            <w:tcMar>
              <w:bottom w:w="50" w:type="dxa"/>
            </w:tcMar>
            <w:vAlign w:val="center"/>
          </w:tcPr>
          <w:p>
            <w:pPr>
              <w:pStyle w:val="TableContents"/>
              <w:bidi w:val="0"/>
              <w:spacing w:before="0" w:after="283"/>
              <w:jc w:val="right"/>
              <w:rPr/>
            </w:pPr>
            <w:r>
              <w:rPr/>
              <w:t>0.94%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43" w:type="dxa"/>
            <w:tcBorders/>
            <w:tcMar>
              <w:bottom w:w="0" w:type="dxa"/>
            </w:tcMar>
            <w:vAlign w:val="center"/>
          </w:tcPr>
          <w:p>
            <w:pPr>
              <w:pStyle w:val="TableContents"/>
              <w:bidi w:val="0"/>
              <w:spacing w:before="0" w:after="0"/>
              <w:jc w:val="left"/>
              <w:rPr/>
            </w:pPr>
            <w:r>
              <w:rPr>
                <w:spacing w:val="-4"/>
              </w:rPr>
              <w:t>Total Common Stock at Closing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63" w:type="dxa"/>
            <w:tcBorders/>
            <w:tcMar>
              <w:bottom w:w="0" w:type="dxa"/>
            </w:tcMar>
            <w:vAlign w:val="center"/>
          </w:tcPr>
          <w:p>
            <w:pPr>
              <w:pStyle w:val="TableContents"/>
              <w:bidi w:val="0"/>
              <w:spacing w:before="0" w:after="283"/>
              <w:jc w:val="right"/>
              <w:rPr/>
            </w:pPr>
            <w:r>
              <w:rPr/>
              <w:t>29,579,313</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92.21%</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24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Series A Cumulative Convertible Preferred Stock, As Converted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12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63" w:type="dxa"/>
            <w:tcBorders>
              <w:bottom w:val="single" w:sz="2" w:space="0" w:color="000000"/>
            </w:tcBorders>
            <w:shd w:fill="CCEEFF" w:val="clear"/>
            <w:tcMar>
              <w:bottom w:w="50" w:type="dxa"/>
            </w:tcMar>
            <w:vAlign w:val="center"/>
          </w:tcPr>
          <w:p>
            <w:pPr>
              <w:pStyle w:val="TableContents"/>
              <w:bidi w:val="0"/>
              <w:spacing w:before="0" w:after="283"/>
              <w:jc w:val="right"/>
              <w:rPr/>
            </w:pPr>
            <w:r>
              <w:rPr/>
              <w:t>2,500,000</w:t>
            </w:r>
          </w:p>
        </w:tc>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3" w:type="dxa"/>
            <w:tcBorders>
              <w:bottom w:val="single" w:sz="2" w:space="0" w:color="000000"/>
            </w:tcBorders>
            <w:shd w:fill="CCEEFF" w:val="clear"/>
            <w:tcMar>
              <w:bottom w:w="50" w:type="dxa"/>
            </w:tcMar>
            <w:vAlign w:val="center"/>
          </w:tcPr>
          <w:p>
            <w:pPr>
              <w:pStyle w:val="TableContents"/>
              <w:bidi w:val="0"/>
              <w:spacing w:before="0" w:after="283"/>
              <w:jc w:val="right"/>
              <w:rPr/>
            </w:pPr>
            <w:r>
              <w:rPr/>
              <w:t>7.79%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43" w:type="dxa"/>
            <w:tcBorders>
              <w:bottom w:val="single" w:sz="2" w:space="0" w:color="FFFFFF"/>
            </w:tcBorders>
            <w:tcMar>
              <w:bottom w:w="50" w:type="dxa"/>
            </w:tcMar>
            <w:vAlign w:val="center"/>
          </w:tcPr>
          <w:p>
            <w:pPr>
              <w:pStyle w:val="TableContents"/>
              <w:bidi w:val="0"/>
              <w:spacing w:before="0" w:after="0"/>
              <w:jc w:val="left"/>
              <w:rPr/>
            </w:pPr>
            <w:r>
              <w:rPr>
                <w:spacing w:val="-4"/>
              </w:rPr>
              <w:t>Total Shares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000000"/>
            </w:tcBorders>
            <w:tcMar>
              <w:bottom w:w="50" w:type="dxa"/>
            </w:tcMar>
            <w:vAlign w:val="center"/>
          </w:tcPr>
          <w:p>
            <w:pPr>
              <w:pStyle w:val="TableContents"/>
              <w:bidi w:val="0"/>
              <w:spacing w:before="0" w:after="283"/>
              <w:jc w:val="right"/>
              <w:rPr/>
            </w:pPr>
            <w:r>
              <w:rPr/>
              <w:t>​</w:t>
            </w:r>
          </w:p>
        </w:tc>
        <w:tc>
          <w:tcPr>
            <w:tcW w:w="1363" w:type="dxa"/>
            <w:tcBorders>
              <w:bottom w:val="single" w:sz="2" w:space="0" w:color="000000"/>
            </w:tcBorders>
            <w:tcMar>
              <w:bottom w:w="50" w:type="dxa"/>
            </w:tcMar>
            <w:vAlign w:val="center"/>
          </w:tcPr>
          <w:p>
            <w:pPr>
              <w:pStyle w:val="TableContents"/>
              <w:bidi w:val="0"/>
              <w:spacing w:before="0" w:after="283"/>
              <w:jc w:val="right"/>
              <w:rPr/>
            </w:pPr>
            <w:r>
              <w:rPr/>
              <w:t>32,079,313</w:t>
            </w:r>
          </w:p>
        </w:tc>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3" w:type="dxa"/>
            <w:tcBorders>
              <w:bottom w:val="single" w:sz="2" w:space="0" w:color="000000"/>
            </w:tcBorders>
            <w:tcMar>
              <w:bottom w:w="50" w:type="dxa"/>
            </w:tcMar>
            <w:vAlign w:val="center"/>
          </w:tcPr>
          <w:p>
            <w:pPr>
              <w:pStyle w:val="TableContents"/>
              <w:bidi w:val="0"/>
              <w:spacing w:before="0" w:after="283"/>
              <w:jc w:val="right"/>
              <w:rPr/>
            </w:pPr>
            <w:r>
              <w:rPr/>
              <w:t>100.00%</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691,666 shares of common stock transferred by SVII Sponsor to certain SVII Public Shareholders in accordance with a non-redemption agreement among the parties. </w:t>
      </w:r>
      <w:r>
        <mc:AlternateContent>
          <mc:Choice Requires="wps">
            <w:drawing>
              <wp:anchor behindDoc="0" distT="116840" distB="0" distL="0" distR="0" simplePos="0" locked="0" layoutInCell="1" allowOverlap="1" relativeHeight="305">
                <wp:simplePos x="0" y="0"/>
                <wp:positionH relativeFrom="column">
                  <wp:align>left</wp:align>
                </wp:positionH>
                <wp:positionV relativeFrom="line">
                  <wp:align>top</wp:align>
                </wp:positionV>
                <wp:extent cx="254000" cy="350520"/>
                <wp:effectExtent l="0" t="0" r="0" b="0"/>
                <wp:wrapSquare wrapText="right"/>
                <wp:docPr id="301" name="Frame2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SVII Sponsor and former independent directors of SVII. Excludes 691,666 shares of common stock transferred in accordance with a non-redemption agreement. </w:t>
      </w:r>
      <w:r>
        <mc:AlternateContent>
          <mc:Choice Requires="wps">
            <w:drawing>
              <wp:anchor behindDoc="0" distT="66040" distB="0" distL="0" distR="0" simplePos="0" locked="0" layoutInCell="1" allowOverlap="1" relativeHeight="306">
                <wp:simplePos x="0" y="0"/>
                <wp:positionH relativeFrom="column">
                  <wp:align>left</wp:align>
                </wp:positionH>
                <wp:positionV relativeFrom="line">
                  <wp:align>top</wp:align>
                </wp:positionV>
                <wp:extent cx="254000" cy="350520"/>
                <wp:effectExtent l="0" t="0" r="0" b="0"/>
                <wp:wrapSquare wrapText="right"/>
                <wp:docPr id="302" name="Frame2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reconciliation of net contributions from reverse recapitalization is as follows: </w:t>
      </w:r>
    </w:p>
    <w:tbl>
      <w:tblPr>
        <w:tblW w:w="7063" w:type="dxa"/>
        <w:jc w:val="left"/>
        <w:tblInd w:w="1393" w:type="dxa"/>
        <w:tblLayout w:type="fixed"/>
        <w:tblCellMar>
          <w:top w:w="0" w:type="dxa"/>
          <w:left w:w="0" w:type="dxa"/>
          <w:bottom w:w="0" w:type="dxa"/>
          <w:right w:w="0" w:type="dxa"/>
        </w:tblCellMar>
      </w:tblPr>
      <w:tblGrid>
        <w:gridCol w:w="124"/>
        <w:gridCol w:w="4907"/>
        <w:gridCol w:w="109"/>
        <w:gridCol w:w="109"/>
        <w:gridCol w:w="109"/>
        <w:gridCol w:w="226"/>
        <w:gridCol w:w="121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907" w:type="dxa"/>
            <w:tcBorders/>
            <w:shd w:fill="CCEEFF" w:val="clear"/>
            <w:vAlign w:val="center"/>
          </w:tcPr>
          <w:p>
            <w:pPr>
              <w:pStyle w:val="TableContents"/>
              <w:bidi w:val="0"/>
              <w:spacing w:before="0" w:after="0"/>
              <w:jc w:val="left"/>
              <w:rPr>
                <w:spacing w:val="4"/>
              </w:rPr>
            </w:pPr>
            <w:r>
              <w:rPr>
                <w:spacing w:val="4"/>
              </w:rPr>
              <w:t xml:space="preserve">Cash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216" w:type="dxa"/>
            <w:tcBorders/>
            <w:shd w:fill="CCEEFF" w:val="clear"/>
            <w:vAlign w:val="center"/>
          </w:tcPr>
          <w:p>
            <w:pPr>
              <w:pStyle w:val="TableContents"/>
              <w:bidi w:val="0"/>
              <w:spacing w:before="0" w:after="283"/>
              <w:jc w:val="right"/>
              <w:rPr/>
            </w:pPr>
            <w:r>
              <w:rPr/>
              <w:t>4,894,595</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90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Less: transaction 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tcMar>
              <w:bottom w:w="50" w:type="dxa"/>
            </w:tcMar>
            <w:vAlign w:val="center"/>
          </w:tcPr>
          <w:p>
            <w:pPr>
              <w:pStyle w:val="TableContents"/>
              <w:bidi w:val="0"/>
              <w:spacing w:before="0" w:after="283"/>
              <w:jc w:val="right"/>
              <w:rPr/>
            </w:pPr>
            <w:r>
              <w:rPr/>
              <w:t>(2,916,782)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90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Proceeds from the reverse recapitalization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shd w:fill="CCEEFF" w:val="clear"/>
            <w:tcMar>
              <w:bottom w:w="50" w:type="dxa"/>
            </w:tcMar>
            <w:vAlign w:val="center"/>
          </w:tcPr>
          <w:p>
            <w:pPr>
              <w:pStyle w:val="TableContents"/>
              <w:bidi w:val="0"/>
              <w:spacing w:before="0" w:after="283"/>
              <w:jc w:val="right"/>
              <w:rPr/>
            </w:pPr>
            <w:r>
              <w:rPr/>
              <w:t>1,977,813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07" w:type="dxa"/>
            <w:tcBorders/>
            <w:vAlign w:val="center"/>
          </w:tcPr>
          <w:p>
            <w:pPr>
              <w:pStyle w:val="TableContents"/>
              <w:bidi w:val="0"/>
              <w:spacing w:before="0" w:after="283"/>
              <w:jc w:val="left"/>
              <w:rPr>
                <w:spacing w:val="4"/>
              </w:rPr>
            </w:pPr>
            <w:r>
              <w:rPr>
                <w:spacing w:val="4"/>
              </w:rPr>
              <w:t xml:space="preserve">Net liabilities assumed by the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07" w:type="dxa"/>
            <w:tcBorders/>
            <w:shd w:fill="CCEEFF" w:val="clear"/>
            <w:vAlign w:val="center"/>
          </w:tcPr>
          <w:p>
            <w:pPr>
              <w:pStyle w:val="TableContents"/>
              <w:bidi w:val="0"/>
              <w:spacing w:before="0" w:after="0"/>
              <w:jc w:val="left"/>
              <w:rPr>
                <w:spacing w:val="4"/>
              </w:rPr>
            </w:pPr>
            <w:r>
              <w:rPr>
                <w:spacing w:val="4"/>
              </w:rPr>
              <w:t xml:space="preserve">Prepaid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216" w:type="dxa"/>
            <w:tcBorders/>
            <w:shd w:fill="CCEEFF" w:val="clear"/>
            <w:vAlign w:val="center"/>
          </w:tcPr>
          <w:p>
            <w:pPr>
              <w:pStyle w:val="TableContents"/>
              <w:bidi w:val="0"/>
              <w:spacing w:before="0" w:after="283"/>
              <w:jc w:val="right"/>
              <w:rPr/>
            </w:pPr>
            <w:r>
              <w:rPr/>
              <w:t>24,284</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07" w:type="dxa"/>
            <w:tcBorders/>
            <w:vAlign w:val="center"/>
          </w:tcPr>
          <w:p>
            <w:pPr>
              <w:pStyle w:val="TableContents"/>
              <w:bidi w:val="0"/>
              <w:spacing w:before="0" w:after="0"/>
              <w:jc w:val="left"/>
              <w:rPr>
                <w:spacing w:val="4"/>
              </w:rPr>
            </w:pPr>
            <w:r>
              <w:rPr>
                <w:spacing w:val="4"/>
              </w:rPr>
              <w:t xml:space="preserve">Accounts payable and accrued liabilities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(10,913)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90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Promissory notes payable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shd w:fill="CCEEFF" w:val="clear"/>
            <w:tcMar>
              <w:bottom w:w="50" w:type="dxa"/>
            </w:tcMar>
            <w:vAlign w:val="center"/>
          </w:tcPr>
          <w:p>
            <w:pPr>
              <w:pStyle w:val="TableContents"/>
              <w:bidi w:val="0"/>
              <w:spacing w:before="0" w:after="283"/>
              <w:jc w:val="right"/>
              <w:rPr/>
            </w:pPr>
            <w:r>
              <w:rPr/>
              <w:t>(2,422,133)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90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Net assets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tcMar>
              <w:bottom w:w="50" w:type="dxa"/>
            </w:tcMar>
            <w:vAlign w:val="center"/>
          </w:tcPr>
          <w:p>
            <w:pPr>
              <w:pStyle w:val="TableContents"/>
              <w:bidi w:val="0"/>
              <w:spacing w:before="0" w:after="283"/>
              <w:jc w:val="right"/>
              <w:rPr/>
            </w:pPr>
            <w:r>
              <w:rPr/>
              <w:t>(2,408,762)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90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Add: conversion of promissory notes to 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shd w:fill="CCEEFF" w:val="clear"/>
            <w:tcMar>
              <w:bottom w:w="50" w:type="dxa"/>
            </w:tcMar>
            <w:vAlign w:val="center"/>
          </w:tcPr>
          <w:p>
            <w:pPr>
              <w:pStyle w:val="TableContents"/>
              <w:bidi w:val="0"/>
              <w:spacing w:before="0" w:after="283"/>
              <w:jc w:val="right"/>
              <w:rPr/>
            </w:pPr>
            <w:r>
              <w:rPr/>
              <w:t>2,422,133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07" w:type="dxa"/>
            <w:tcBorders/>
            <w:vAlign w:val="center"/>
          </w:tcPr>
          <w:p>
            <w:pPr>
              <w:pStyle w:val="TableContents"/>
              <w:bidi w:val="0"/>
              <w:spacing w:before="0" w:after="0"/>
              <w:jc w:val="left"/>
              <w:rPr>
                <w:spacing w:val="4"/>
              </w:rPr>
            </w:pPr>
            <w:r>
              <w:rPr>
                <w:spacing w:val="4"/>
              </w:rPr>
              <w:t xml:space="preserve">Net contributions from reverse recapitalization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216" w:type="dxa"/>
            <w:tcBorders>
              <w:bottom w:val="double" w:sz="8" w:space="0" w:color="000000"/>
            </w:tcBorders>
            <w:tcMar>
              <w:bottom w:w="50" w:type="dxa"/>
            </w:tcMar>
            <w:vAlign w:val="center"/>
          </w:tcPr>
          <w:p>
            <w:pPr>
              <w:pStyle w:val="TableContents"/>
              <w:bidi w:val="0"/>
              <w:spacing w:before="0" w:after="283"/>
              <w:jc w:val="right"/>
              <w:rPr/>
            </w:pPr>
            <w:r>
              <w:rPr/>
              <w:t>1,991,184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56"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reconciliation of cash assumed on reverse recapitalization is as follows: </w:t>
      </w:r>
    </w:p>
    <w:tbl>
      <w:tblPr>
        <w:tblW w:w="8746" w:type="dxa"/>
        <w:jc w:val="left"/>
        <w:tblInd w:w="1393" w:type="dxa"/>
        <w:tblLayout w:type="fixed"/>
        <w:tblCellMar>
          <w:top w:w="0" w:type="dxa"/>
          <w:left w:w="0" w:type="dxa"/>
          <w:bottom w:w="0" w:type="dxa"/>
          <w:right w:w="0" w:type="dxa"/>
        </w:tblCellMar>
      </w:tblPr>
      <w:tblGrid>
        <w:gridCol w:w="124"/>
        <w:gridCol w:w="6740"/>
        <w:gridCol w:w="109"/>
        <w:gridCol w:w="109"/>
        <w:gridCol w:w="109"/>
        <w:gridCol w:w="226"/>
        <w:gridCol w:w="106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740" w:type="dxa"/>
            <w:tcBorders/>
            <w:shd w:fill="CCEEFF" w:val="clear"/>
            <w:vAlign w:val="center"/>
          </w:tcPr>
          <w:p>
            <w:pPr>
              <w:pStyle w:val="TableContents"/>
              <w:bidi w:val="0"/>
              <w:spacing w:before="0" w:after="0"/>
              <w:jc w:val="left"/>
              <w:rPr>
                <w:spacing w:val="4"/>
              </w:rPr>
            </w:pPr>
            <w:r>
              <w:rPr>
                <w:spacing w:val="4"/>
              </w:rPr>
              <w:t xml:space="preserve">Proceeds from the reverse recapitalization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1,977,813</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0"/>
              <w:jc w:val="left"/>
              <w:rPr>
                <w:spacing w:val="4"/>
              </w:rPr>
            </w:pPr>
            <w:r>
              <w:rPr>
                <w:spacing w:val="4"/>
              </w:rPr>
              <w:t xml:space="preserve">Add: transaction costs not paid from de-SPAC proceeds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48,689</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74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Less: Cash disbursed for prepaid expenses from de-SPAC proceeds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(87,045)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74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Cash assumed on reverse recapitalization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1,939,457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38"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Lock-up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de-SPAC transaction, SVII Sponsor and certain other shareholders of the Company entered into a lock-up agreement, and agreed to certain transfer and lock-up restrictions of the Company’s common stock, which would terminate 180 days after February 24, 2026, subject to certain exclusions, such as in the event of a liquidation, merger, stock exchange, or other similar transaction that results in all of the Company’s stockholders having the right to exchange their equity for cash, securities or other property.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Registration rights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de-SPAC transaction, on February 24, 2026, the Company, SVII Sponsor, and certain stockholders of the Company entered into an Amended and Restated Registration Rights Agreement, pursuant to which, among other things, those stockholders will be granted customary registration rights with respect to the securities of the Company that they hold.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Indemnification agreements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de-SPAC transaction, on February 24, 2026, the Company entered into indemnification agreements with each of its directors and executive officers. Each indemnification agreement provides for indemnification and advancements by the Company of certain expenses, including attorney’s fees, judgments,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ACQUISITION OF OREGON ENERGY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de-SPAC transaction (Note 4), the Company, through its subsidiary Eagle Energy, completed the acquisition of Oregon Energy from Aurora Energy, pursuant to the terms of a property option agreement (the “Aurora Option Agreement”) with Aurora Energy originally entered into on November 18, 2024, as amended on November 26, 2025 and February 24, 2026. As consideration for the acquisition, the Company issued 1,710,991 shares of its common stock to Aurora Energy at a fair value of $6.99 per share, resulting in total share consideration of $11,959,827. The Company also made cash payments totaling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$1,219,545 to Aurora Energy pursuant to the terms of the Aurora Option Agreement prior to closing, which were previously capitalized as mineral rights (Note 9). Upon completion, the Company acquired 100% membership interest in Oregon Energy.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Aurora Option Agreement, Aurora Energy retained a 1.0% net smelter return (“NSR”) royalty on the mineral rights, which constitutes a perpetual interest in the underlying assets. Certain contingent and deferred consideration obligations (including resource-based and pre-feasibility milestone payments) remain outstanding and will be recognized when probable.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was accounted for as an asset acquisition under ASC 805, as Oregon Energy did not qualify as a business according to the definition of ASC 805. The purchase price was allocated to the identifiable assets acquired and liabilities assumed based on their estimated fair value as of the acquisition date. The Company utilized a market approach, based on observed and implied valuation multiples of public companies, to assess the components of its purchase price allocation. The allocation of the purchase price is summarized below: </w:t>
      </w:r>
    </w:p>
    <w:tbl>
      <w:tblPr>
        <w:tblW w:w="8812" w:type="dxa"/>
        <w:jc w:val="left"/>
        <w:tblInd w:w="1393" w:type="dxa"/>
        <w:tblLayout w:type="fixed"/>
        <w:tblCellMar>
          <w:top w:w="0" w:type="dxa"/>
          <w:left w:w="0" w:type="dxa"/>
          <w:bottom w:w="0" w:type="dxa"/>
          <w:right w:w="0" w:type="dxa"/>
        </w:tblCellMar>
      </w:tblPr>
      <w:tblGrid>
        <w:gridCol w:w="124"/>
        <w:gridCol w:w="6686"/>
        <w:gridCol w:w="109"/>
        <w:gridCol w:w="109"/>
        <w:gridCol w:w="109"/>
        <w:gridCol w:w="226"/>
        <w:gridCol w:w="11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Number of common shares issued for acquisition of Oregon Energy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1,710,991</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68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Fair value per share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6.99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Share consideration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11,959,827</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68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Cash consideration from prior option payments (Note 9)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1,219,545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68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consideration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13,179,372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283"/>
              <w:jc w:val="left"/>
              <w:rPr>
                <w:spacing w:val="4"/>
              </w:rPr>
            </w:pPr>
            <w:r>
              <w:rPr>
                <w:spacing w:val="4"/>
              </w:rPr>
              <w:t xml:space="preserve">Net assets assumed by the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Cash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302</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spacing w:val="4"/>
              </w:rPr>
            </w:pPr>
            <w:r>
              <w:rPr>
                <w:spacing w:val="4"/>
              </w:rPr>
              <w:t xml:space="preserve">Prepaids and deposits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42,604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Restricted cash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140,960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spacing w:val="4"/>
              </w:rPr>
            </w:pPr>
            <w:r>
              <w:rPr>
                <w:spacing w:val="4"/>
              </w:rPr>
              <w:t xml:space="preserve">Property, plant and equipment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242,012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Accounts payable and accrued liabilities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(2,231)</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68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Mineral 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12,755,725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68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Net assets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13,179,372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also included contingent considerations payable upon the achievement of certain post-closing milestones related to future measured and/or indicated mineral resources and the completion of a positive pre-feasibility study (Note 9). Such contingent considerations were not included in the purchase consideration recognized on the closing date of the asset acquisition, as the related milestones are dependent on future events with uncertain outcomes and were not considered probable as of the closing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RECLAMATION AND ENVIRONMENTAL OBLIGATION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Reclamation and environmental costs are based principally on legal and regulatory requirements. Management estimates the costs associated with reclamation of land to its original condition following mineral exploration activities. These estimates are reviewed periodically; however, actual results may differ from those estimates.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acquisition of Oregon Energy (Note 5), reclamation and environmental obligations were evaluated in accordance with ASC 805, and recorded at their estimated fair value as of the acquisition date. The Company also considered the guidance under ASC 410, Asset Retirement and Environmental Obligations, for subsequent measurement of such obligations.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acquisition, Oregon Energy posted cash bonds as financial assurance with the Bureau of Land Management of the United States Department of the Interior (“BLM”) and the Oregon Department of Geology and Mineral Industries (“DOGAMI”) to satisfy reclamation requirements. As of February 28, 2026, restricted cash totaled $140,960 (November 30, 2025 — $Nil), representing amounts held as collateral for these obligations. These bonds relate to mineral exploration activities conducted in fiscal years prior to the acquisition, dating back to 2023, for which reclamation activities have been completed prior to the acquisition.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Oregon Energy originally deposited $160,470 with BLM and DOGAMI. In February 2025, refunds of $19,510 were received from the BLM following partial satisfaction of reclamation requirements. The remaining bonds are retained by the BLM and DOGAMI, until revegetation was deemed successful by these regulatory agencies.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reclamation and environmental obligations were substantially settled prior to the acquisition, and the Company has yet to commence new exploration activities, the carrying amount of reclamation and environmental obligation was $Nil as of February 28, 2026.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Increases in reclamation and environmental obligation associated with exploration activities of the Company are not capitalized to mineral rights (Note 9), as only acquisition costs are capitalizable in accordance with ASC 930, </w:t>
      </w:r>
      <w:r>
        <w:rPr>
          <w:rFonts w:ascii="Times New Roman;Times;serif" w:hAnsi="Times New Roman;Times;serif"/>
          <w:b w:val="false"/>
          <w:i/>
          <w:caps w:val="false"/>
          <w:smallCaps w:val="false"/>
          <w:color w:val="000000"/>
          <w:spacing w:val="4"/>
          <w:sz w:val="20"/>
        </w:rPr>
        <w:t>Extractive Activities — Mining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consist of the following: </w:t>
      </w:r>
    </w:p>
    <w:tbl>
      <w:tblPr>
        <w:tblW w:w="6191" w:type="dxa"/>
        <w:jc w:val="left"/>
        <w:tblInd w:w="1393" w:type="dxa"/>
        <w:tblLayout w:type="fixed"/>
        <w:tblCellMar>
          <w:top w:w="0" w:type="dxa"/>
          <w:left w:w="0" w:type="dxa"/>
          <w:bottom w:w="28" w:type="dxa"/>
          <w:right w:w="0" w:type="dxa"/>
        </w:tblCellMar>
      </w:tblPr>
      <w:tblGrid>
        <w:gridCol w:w="2740"/>
        <w:gridCol w:w="109"/>
        <w:gridCol w:w="109"/>
        <w:gridCol w:w="111"/>
        <w:gridCol w:w="230"/>
        <w:gridCol w:w="903"/>
        <w:gridCol w:w="111"/>
        <w:gridCol w:w="109"/>
        <w:gridCol w:w="109"/>
        <w:gridCol w:w="207"/>
        <w:gridCol w:w="430"/>
        <w:gridCol w:w="659"/>
        <w:gridCol w:w="210"/>
        <w:gridCol w:w="154"/>
      </w:tblGrid>
      <w:tr>
        <w:trPr/>
        <w:tc>
          <w:tcPr>
            <w:tcW w:w="27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February 28,</w:t>
            </w:r>
            <w:r>
              <w:rPr/>
              <w:t xml:space="preserve"> </w:t>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November 30,</w:t>
            </w:r>
            <w:r>
              <w:rPr/>
              <w:t xml:space="preserve"> </w:t>
              <w:br/>
            </w: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740" w:type="dxa"/>
            <w:tcBorders/>
            <w:shd w:fill="CCEEFF" w:val="clear"/>
            <w:tcMar>
              <w:bottom w:w="0" w:type="dxa"/>
            </w:tcMar>
            <w:vAlign w:val="center"/>
          </w:tcPr>
          <w:p>
            <w:pPr>
              <w:pStyle w:val="TableContents"/>
              <w:bidi w:val="0"/>
              <w:spacing w:before="0" w:after="0"/>
              <w:jc w:val="left"/>
              <w:rPr>
                <w:spacing w:val="4"/>
              </w:rPr>
            </w:pPr>
            <w:r>
              <w:rPr>
                <w:spacing w:val="4"/>
              </w:rPr>
              <w:t xml:space="preserve">Land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151,172</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7" w:type="dxa"/>
            <w:tcBorders/>
            <w:shd w:fill="CCEEFF" w:val="clear"/>
            <w:tcMar>
              <w:bottom w:w="0" w:type="dxa"/>
            </w:tcMar>
            <w:vAlign w:val="center"/>
          </w:tcPr>
          <w:p>
            <w:pPr>
              <w:pStyle w:val="TableContents"/>
              <w:bidi w:val="0"/>
              <w:spacing w:before="0" w:after="283"/>
              <w:jc w:val="left"/>
              <w:rPr/>
            </w:pPr>
            <w:r>
              <w:rPr/>
              <w:t>​</w:t>
            </w:r>
          </w:p>
        </w:tc>
        <w:tc>
          <w:tcPr>
            <w:tcW w:w="430" w:type="dxa"/>
            <w:tcBorders/>
            <w:shd w:fill="CCEEFF" w:val="clear"/>
            <w:tcMar>
              <w:bottom w:w="0" w:type="dxa"/>
            </w:tcMar>
            <w:vAlign w:val="center"/>
          </w:tcPr>
          <w:p>
            <w:pPr>
              <w:pStyle w:val="TableContents"/>
              <w:bidi w:val="0"/>
              <w:spacing w:before="0" w:after="283"/>
              <w:jc w:val="right"/>
              <w:rPr/>
            </w:pPr>
            <w:r>
              <w:rPr/>
              <w:t>$</w:t>
            </w:r>
          </w:p>
        </w:tc>
        <w:tc>
          <w:tcPr>
            <w:tcW w:w="659" w:type="dxa"/>
            <w:tcBorders/>
            <w:shd w:fill="CCEEFF" w:val="clear"/>
            <w:tcMar>
              <w:bottom w:w="0" w:type="dxa"/>
            </w:tcMar>
            <w:vAlign w:val="center"/>
          </w:tcPr>
          <w:p>
            <w:pPr>
              <w:pStyle w:val="TableContents"/>
              <w:bidi w:val="0"/>
              <w:spacing w:before="0" w:after="283"/>
              <w:jc w:val="right"/>
              <w:rPr/>
            </w:pPr>
            <w:r>
              <w:rPr/>
              <w:t> —</w:t>
            </w:r>
          </w:p>
        </w:tc>
        <w:tc>
          <w:tcPr>
            <w:tcW w:w="2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40" w:type="dxa"/>
            <w:tcBorders/>
            <w:tcMar>
              <w:bottom w:w="0" w:type="dxa"/>
            </w:tcMar>
            <w:vAlign w:val="center"/>
          </w:tcPr>
          <w:p>
            <w:pPr>
              <w:pStyle w:val="TableContents"/>
              <w:bidi w:val="0"/>
              <w:spacing w:before="0" w:after="0"/>
              <w:jc w:val="left"/>
              <w:rPr>
                <w:spacing w:val="4"/>
              </w:rPr>
            </w:pPr>
            <w:r>
              <w:rPr>
                <w:spacing w:val="4"/>
              </w:rPr>
              <w:t xml:space="preserve">Buildings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80,593</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430" w:type="dxa"/>
            <w:tcBorders/>
            <w:tcMar>
              <w:bottom w:w="0" w:type="dxa"/>
            </w:tcMar>
            <w:vAlign w:val="center"/>
          </w:tcPr>
          <w:p>
            <w:pPr>
              <w:pStyle w:val="TableContents"/>
              <w:bidi w:val="0"/>
              <w:spacing w:before="0" w:after="283"/>
              <w:jc w:val="right"/>
              <w:rPr/>
            </w:pPr>
            <w:r>
              <w:rPr/>
              <w:t>​</w:t>
            </w:r>
          </w:p>
        </w:tc>
        <w:tc>
          <w:tcPr>
            <w:tcW w:w="659"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40" w:type="dxa"/>
            <w:tcBorders/>
            <w:shd w:fill="CCEEFF" w:val="clear"/>
            <w:tcMar>
              <w:bottom w:w="0" w:type="dxa"/>
            </w:tcMar>
            <w:vAlign w:val="center"/>
          </w:tcPr>
          <w:p>
            <w:pPr>
              <w:pStyle w:val="TableContents"/>
              <w:bidi w:val="0"/>
              <w:spacing w:before="0" w:after="0"/>
              <w:jc w:val="left"/>
              <w:rPr>
                <w:spacing w:val="4"/>
              </w:rPr>
            </w:pPr>
            <w:r>
              <w:rPr>
                <w:spacing w:val="4"/>
              </w:rPr>
              <w:t xml:space="preserve">Furniture and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44,555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7" w:type="dxa"/>
            <w:tcBorders/>
            <w:shd w:fill="CCEEFF" w:val="clear"/>
            <w:tcMar>
              <w:bottom w:w="0" w:type="dxa"/>
            </w:tcMar>
            <w:vAlign w:val="center"/>
          </w:tcPr>
          <w:p>
            <w:pPr>
              <w:pStyle w:val="TableContents"/>
              <w:bidi w:val="0"/>
              <w:spacing w:before="0" w:after="283"/>
              <w:jc w:val="left"/>
              <w:rPr/>
            </w:pPr>
            <w:r>
              <w:rPr/>
              <w:t>​</w:t>
            </w:r>
          </w:p>
        </w:tc>
        <w:tc>
          <w:tcPr>
            <w:tcW w:w="430" w:type="dxa"/>
            <w:tcBorders/>
            <w:shd w:fill="CCEEFF" w:val="clear"/>
            <w:tcMar>
              <w:bottom w:w="0" w:type="dxa"/>
            </w:tcMar>
            <w:vAlign w:val="center"/>
          </w:tcPr>
          <w:p>
            <w:pPr>
              <w:pStyle w:val="TableContents"/>
              <w:bidi w:val="0"/>
              <w:spacing w:before="0" w:after="283"/>
              <w:jc w:val="right"/>
              <w:rPr/>
            </w:pPr>
            <w:r>
              <w:rPr/>
              <w:t>​</w:t>
            </w:r>
          </w:p>
        </w:tc>
        <w:tc>
          <w:tcPr>
            <w:tcW w:w="659"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40" w:type="dxa"/>
            <w:tcBorders/>
            <w:tcMar>
              <w:bottom w:w="0" w:type="dxa"/>
            </w:tcMar>
            <w:vAlign w:val="center"/>
          </w:tcPr>
          <w:p>
            <w:pPr>
              <w:pStyle w:val="TableContents"/>
              <w:bidi w:val="0"/>
              <w:spacing w:before="0" w:after="0"/>
              <w:jc w:val="left"/>
              <w:rPr>
                <w:spacing w:val="4"/>
              </w:rPr>
            </w:pPr>
            <w:r>
              <w:rPr>
                <w:spacing w:val="4"/>
              </w:rPr>
              <w:t xml:space="preserve">Moveable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1,253</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430" w:type="dxa"/>
            <w:tcBorders/>
            <w:tcMar>
              <w:bottom w:w="0" w:type="dxa"/>
            </w:tcMar>
            <w:vAlign w:val="center"/>
          </w:tcPr>
          <w:p>
            <w:pPr>
              <w:pStyle w:val="TableContents"/>
              <w:bidi w:val="0"/>
              <w:spacing w:before="0" w:after="283"/>
              <w:jc w:val="right"/>
              <w:rPr/>
            </w:pPr>
            <w:r>
              <w:rPr/>
              <w:t>​</w:t>
            </w:r>
          </w:p>
        </w:tc>
        <w:tc>
          <w:tcPr>
            <w:tcW w:w="659"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4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equipment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3" w:type="dxa"/>
            <w:tcBorders>
              <w:bottom w:val="single" w:sz="2" w:space="0" w:color="000000"/>
            </w:tcBorders>
            <w:shd w:fill="CCEEFF" w:val="clear"/>
            <w:tcMar>
              <w:bottom w:w="50" w:type="dxa"/>
            </w:tcMar>
            <w:vAlign w:val="center"/>
          </w:tcPr>
          <w:p>
            <w:pPr>
              <w:pStyle w:val="TableContents"/>
              <w:bidi w:val="0"/>
              <w:spacing w:before="0" w:after="283"/>
              <w:jc w:val="right"/>
              <w:rPr/>
            </w:pPr>
            <w:r>
              <w:rPr/>
              <w:t>7,504</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07" w:type="dxa"/>
            <w:tcBorders>
              <w:bottom w:val="single" w:sz="2" w:space="0" w:color="CCEEFF"/>
            </w:tcBorders>
            <w:shd w:fill="CCEEFF" w:val="clear"/>
            <w:vAlign w:val="center"/>
          </w:tcPr>
          <w:p>
            <w:pPr>
              <w:pStyle w:val="TableContents"/>
              <w:bidi w:val="0"/>
              <w:spacing w:before="0" w:after="283"/>
              <w:jc w:val="left"/>
              <w:rPr/>
            </w:pPr>
            <w:r>
              <w:rPr/>
              <w:t>​</w:t>
            </w:r>
          </w:p>
        </w:tc>
        <w:tc>
          <w:tcPr>
            <w:tcW w:w="43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210"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7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0" w:type="dxa"/>
            <w:tcBorders>
              <w:bottom w:val="single" w:sz="2" w:space="0" w:color="000000"/>
            </w:tcBorders>
            <w:tcMar>
              <w:bottom w:w="50" w:type="dxa"/>
            </w:tcMar>
            <w:vAlign w:val="center"/>
          </w:tcPr>
          <w:p>
            <w:pPr>
              <w:pStyle w:val="TableContents"/>
              <w:bidi w:val="0"/>
              <w:spacing w:before="0" w:after="283"/>
              <w:jc w:val="right"/>
              <w:rPr/>
            </w:pPr>
            <w:r>
              <w:rPr/>
              <w:t>​</w:t>
            </w:r>
          </w:p>
        </w:tc>
        <w:tc>
          <w:tcPr>
            <w:tcW w:w="903" w:type="dxa"/>
            <w:tcBorders>
              <w:bottom w:val="single" w:sz="2" w:space="0" w:color="000000"/>
            </w:tcBorders>
            <w:tcMar>
              <w:bottom w:w="50" w:type="dxa"/>
            </w:tcMar>
            <w:vAlign w:val="center"/>
          </w:tcPr>
          <w:p>
            <w:pPr>
              <w:pStyle w:val="TableContents"/>
              <w:bidi w:val="0"/>
              <w:spacing w:before="0" w:after="283"/>
              <w:jc w:val="right"/>
              <w:rPr/>
            </w:pPr>
            <w:r>
              <w:rPr/>
              <w:t>285,077</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7" w:type="dxa"/>
            <w:tcBorders>
              <w:bottom w:val="single" w:sz="2" w:space="0" w:color="FFFFFF"/>
            </w:tcBorders>
            <w:vAlign w:val="center"/>
          </w:tcPr>
          <w:p>
            <w:pPr>
              <w:pStyle w:val="TableContents"/>
              <w:bidi w:val="0"/>
              <w:spacing w:before="0" w:after="283"/>
              <w:jc w:val="left"/>
              <w:rPr/>
            </w:pPr>
            <w:r>
              <w:rPr/>
              <w:t>​</w:t>
            </w:r>
          </w:p>
        </w:tc>
        <w:tc>
          <w:tcPr>
            <w:tcW w:w="430" w:type="dxa"/>
            <w:tcBorders>
              <w:bottom w:val="single" w:sz="2" w:space="0" w:color="000000"/>
            </w:tcBorders>
            <w:tcMar>
              <w:bottom w:w="50" w:type="dxa"/>
            </w:tcMar>
            <w:vAlign w:val="center"/>
          </w:tcPr>
          <w:p>
            <w:pPr>
              <w:pStyle w:val="TableContents"/>
              <w:bidi w:val="0"/>
              <w:spacing w:before="0" w:after="283"/>
              <w:jc w:val="right"/>
              <w:rPr/>
            </w:pPr>
            <w:r>
              <w:rPr/>
              <w:t>​</w:t>
            </w:r>
          </w:p>
        </w:tc>
        <w:tc>
          <w:tcPr>
            <w:tcW w:w="659" w:type="dxa"/>
            <w:tcBorders>
              <w:bottom w:val="single" w:sz="2" w:space="0" w:color="000000"/>
            </w:tcBorders>
            <w:tcMar>
              <w:bottom w:w="50" w:type="dxa"/>
            </w:tcMar>
            <w:vAlign w:val="center"/>
          </w:tcPr>
          <w:p>
            <w:pPr>
              <w:pStyle w:val="TableContents"/>
              <w:bidi w:val="0"/>
              <w:spacing w:before="0" w:after="283"/>
              <w:jc w:val="right"/>
              <w:rPr/>
            </w:pPr>
            <w:r>
              <w:rPr/>
              <w:t>—</w:t>
            </w:r>
          </w:p>
        </w:tc>
        <w:tc>
          <w:tcPr>
            <w:tcW w:w="210"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74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Accumulated depreciation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3" w:type="dxa"/>
            <w:tcBorders>
              <w:bottom w:val="single" w:sz="2" w:space="0" w:color="000000"/>
            </w:tcBorders>
            <w:shd w:fill="CCEEFF" w:val="clear"/>
            <w:tcMar>
              <w:bottom w:w="50" w:type="dxa"/>
            </w:tcMar>
            <w:vAlign w:val="center"/>
          </w:tcPr>
          <w:p>
            <w:pPr>
              <w:pStyle w:val="TableContents"/>
              <w:bidi w:val="0"/>
              <w:spacing w:before="0" w:after="283"/>
              <w:jc w:val="right"/>
              <w:rPr/>
            </w:pPr>
            <w:r>
              <w:rPr/>
              <w:t>(1,483)</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07" w:type="dxa"/>
            <w:tcBorders>
              <w:bottom w:val="single" w:sz="2" w:space="0" w:color="CCEEFF"/>
            </w:tcBorders>
            <w:shd w:fill="CCEEFF" w:val="clear"/>
            <w:vAlign w:val="center"/>
          </w:tcPr>
          <w:p>
            <w:pPr>
              <w:pStyle w:val="TableContents"/>
              <w:bidi w:val="0"/>
              <w:spacing w:before="0" w:after="283"/>
              <w:jc w:val="left"/>
              <w:rPr/>
            </w:pPr>
            <w:r>
              <w:rPr/>
              <w:t>​</w:t>
            </w:r>
          </w:p>
        </w:tc>
        <w:tc>
          <w:tcPr>
            <w:tcW w:w="43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210"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740" w:type="dxa"/>
            <w:tcBorders/>
            <w:tcMar>
              <w:bottom w:w="0" w:type="dxa"/>
            </w:tcMar>
            <w:vAlign w:val="center"/>
          </w:tcPr>
          <w:p>
            <w:pPr>
              <w:pStyle w:val="TableContents"/>
              <w:bidi w:val="0"/>
              <w:spacing w:before="0" w:after="0"/>
              <w:jc w:val="left"/>
              <w:rPr>
                <w:spacing w:val="4"/>
              </w:rPr>
            </w:pPr>
            <w:r>
              <w:rPr>
                <w:spacing w:val="4"/>
              </w:rPr>
              <w:t xml:space="preserve">Net book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bottom w:val="double" w:sz="8" w:space="0" w:color="000000"/>
            </w:tcBorders>
            <w:tcMar>
              <w:bottom w:w="50" w:type="dxa"/>
            </w:tcMar>
            <w:vAlign w:val="center"/>
          </w:tcPr>
          <w:p>
            <w:pPr>
              <w:pStyle w:val="TableContents"/>
              <w:bidi w:val="0"/>
              <w:spacing w:before="0" w:after="283"/>
              <w:jc w:val="right"/>
              <w:rPr/>
            </w:pPr>
            <w:r>
              <w:rPr/>
              <w:t>$</w:t>
            </w:r>
          </w:p>
        </w:tc>
        <w:tc>
          <w:tcPr>
            <w:tcW w:w="903" w:type="dxa"/>
            <w:tcBorders>
              <w:bottom w:val="double" w:sz="8" w:space="0" w:color="000000"/>
            </w:tcBorders>
            <w:tcMar>
              <w:bottom w:w="50" w:type="dxa"/>
            </w:tcMar>
            <w:vAlign w:val="center"/>
          </w:tcPr>
          <w:p>
            <w:pPr>
              <w:pStyle w:val="TableContents"/>
              <w:bidi w:val="0"/>
              <w:spacing w:before="0" w:after="283"/>
              <w:jc w:val="right"/>
              <w:rPr/>
            </w:pPr>
            <w:r>
              <w:rPr/>
              <w:t>283,594</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430" w:type="dxa"/>
            <w:tcBorders>
              <w:bottom w:val="double" w:sz="8" w:space="0" w:color="000000"/>
            </w:tcBorders>
            <w:tcMar>
              <w:bottom w:w="50" w:type="dxa"/>
            </w:tcMar>
            <w:vAlign w:val="center"/>
          </w:tcPr>
          <w:p>
            <w:pPr>
              <w:pStyle w:val="TableContents"/>
              <w:bidi w:val="0"/>
              <w:spacing w:before="0" w:after="283"/>
              <w:jc w:val="right"/>
              <w:rPr/>
            </w:pPr>
            <w:r>
              <w:rPr/>
              <w:t>$</w:t>
            </w:r>
          </w:p>
        </w:tc>
        <w:tc>
          <w:tcPr>
            <w:tcW w:w="659" w:type="dxa"/>
            <w:tcBorders>
              <w:bottom w:val="double" w:sz="8" w:space="0" w:color="000000"/>
            </w:tcBorders>
            <w:tcMar>
              <w:bottom w:w="5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Depreciation expense for the three months ended February 28, 2026 and 2025, was $1,483 and $Nil, respectively.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INTANGIBLE ASSET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20, 2025, the Company entered into an exclusive patent license agreement with UNM Rainforest Innovations (“UNMRI”) for the use and commercialization of certain patents and technologies, including the grant of commercial sub-licenses, in relation to designs and technologies of small modular nuclear reactors. The term of the agreement is to remain in force until the later of: (i) 10 years from the date of first sale of a licensed product, or provision of a licensed service; and, (ii) the last expiration date of the underlying patents. The Company paid a license fee of $50,000 and patent expense reimbursement of $17,430 upon execution of the agreement. The Company capitalized the costs paid upon execution of the agreement, and subsequent costs connected with establishment of new intangible asset rights.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patent license agreement, a license maintenance fee of $35,000 due on January 31, 2026 has been paid. The Company is obligated to pay additional license maintenance fees of $50,000 on each of January 31, 2027 and January 31, 2028. The Company shall also pay to UNMRI certain royalties on commercial sublicenses and on gross receipts from sale of commercial reactors, subject to minimum annual royalties of $65,000 from the calendar year 2028 onwards. As of February 28, 2026, $8,082 (November 30, 2025 — $29,436) of license maintenance fees were included in accounts payable and accrued liabilities.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policy is to expense costs incurred to renew, extend or maintain the term of a recognized patent license as incurred.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Patent licenses are amortized on a straight-line basis over their estimated useful lives pursuant to contract terms.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intangible assets as of February 28, 2026, are as follows: </w:t>
      </w:r>
    </w:p>
    <w:tbl>
      <w:tblPr>
        <w:tblW w:w="8812" w:type="dxa"/>
        <w:jc w:val="left"/>
        <w:tblInd w:w="1393" w:type="dxa"/>
        <w:tblLayout w:type="fixed"/>
        <w:tblCellMar>
          <w:top w:w="0" w:type="dxa"/>
          <w:left w:w="0" w:type="dxa"/>
          <w:bottom w:w="28" w:type="dxa"/>
          <w:right w:w="0" w:type="dxa"/>
        </w:tblCellMar>
      </w:tblPr>
      <w:tblGrid>
        <w:gridCol w:w="2343"/>
        <w:gridCol w:w="109"/>
        <w:gridCol w:w="109"/>
        <w:gridCol w:w="120"/>
        <w:gridCol w:w="249"/>
        <w:gridCol w:w="845"/>
        <w:gridCol w:w="120"/>
        <w:gridCol w:w="109"/>
        <w:gridCol w:w="109"/>
        <w:gridCol w:w="127"/>
        <w:gridCol w:w="267"/>
        <w:gridCol w:w="855"/>
        <w:gridCol w:w="130"/>
        <w:gridCol w:w="109"/>
        <w:gridCol w:w="109"/>
        <w:gridCol w:w="109"/>
        <w:gridCol w:w="226"/>
        <w:gridCol w:w="766"/>
        <w:gridCol w:w="109"/>
        <w:gridCol w:w="109"/>
        <w:gridCol w:w="109"/>
        <w:gridCol w:w="192"/>
        <w:gridCol w:w="192"/>
        <w:gridCol w:w="933"/>
        <w:gridCol w:w="196"/>
        <w:gridCol w:w="161"/>
      </w:tblGrid>
      <w:tr>
        <w:trPr/>
        <w:tc>
          <w:tcPr>
            <w:tcW w:w="23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Gross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Amortization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Net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Weighted</w:t>
            </w:r>
            <w:r>
              <w:rPr/>
              <w:t xml:space="preserve"> </w:t>
              <w:br/>
            </w:r>
            <w:r>
              <w:rPr>
                <w:spacing w:val="-3"/>
              </w:rPr>
              <w:t>Average</w:t>
            </w:r>
            <w:r>
              <w:rPr/>
              <w:t xml:space="preserve"> </w:t>
              <w:br/>
            </w:r>
            <w:r>
              <w:rPr>
                <w:spacing w:val="-3"/>
              </w:rPr>
              <w:t>Remaining Life</w:t>
            </w:r>
            <w:r>
              <w:rPr/>
              <w:t xml:space="preserve"> </w:t>
              <w:br/>
            </w:r>
            <w:r>
              <w:rPr>
                <w:spacing w:val="-3"/>
              </w:rPr>
              <w:t xml:space="preserve">(Years)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34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Patent licenses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24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5" w:type="dxa"/>
            <w:tcBorders>
              <w:bottom w:val="single" w:sz="2" w:space="0" w:color="000000"/>
            </w:tcBorders>
            <w:shd w:fill="CCEEFF" w:val="clear"/>
            <w:tcMar>
              <w:bottom w:w="50" w:type="dxa"/>
            </w:tcMar>
            <w:vAlign w:val="center"/>
          </w:tcPr>
          <w:p>
            <w:pPr>
              <w:pStyle w:val="TableContents"/>
              <w:bidi w:val="0"/>
              <w:spacing w:before="0" w:after="283"/>
              <w:jc w:val="right"/>
              <w:rPr/>
            </w:pPr>
            <w:r>
              <w:rPr/>
              <w:t>78,124</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7" w:type="dxa"/>
            <w:tcBorders>
              <w:bottom w:val="single" w:sz="2" w:space="0" w:color="CCEEFF"/>
            </w:tcBorders>
            <w:shd w:fill="CCEEFF" w:val="clear"/>
            <w:vAlign w:val="center"/>
          </w:tcPr>
          <w:p>
            <w:pPr>
              <w:pStyle w:val="TableContents"/>
              <w:bidi w:val="0"/>
              <w:spacing w:before="0" w:after="283"/>
              <w:jc w:val="left"/>
              <w:rPr/>
            </w:pPr>
            <w:r>
              <w:rPr/>
              <w:t>​</w:t>
            </w:r>
          </w:p>
        </w:tc>
        <w:tc>
          <w:tcPr>
            <w:tcW w:w="26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55" w:type="dxa"/>
            <w:tcBorders>
              <w:bottom w:val="single" w:sz="2" w:space="0" w:color="000000"/>
            </w:tcBorders>
            <w:shd w:fill="CCEEFF" w:val="clear"/>
            <w:tcMar>
              <w:bottom w:w="50" w:type="dxa"/>
            </w:tcMar>
            <w:vAlign w:val="center"/>
          </w:tcPr>
          <w:p>
            <w:pPr>
              <w:pStyle w:val="TableContents"/>
              <w:bidi w:val="0"/>
              <w:spacing w:before="0" w:after="283"/>
              <w:jc w:val="right"/>
              <w:rPr/>
            </w:pPr>
            <w:r>
              <w:rPr/>
              <w:t>(2,456)</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75,668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92" w:type="dxa"/>
            <w:tcBorders>
              <w:bottom w:val="single" w:sz="2" w:space="0" w:color="CCEEFF"/>
            </w:tcBorders>
            <w:shd w:fill="CCEEFF" w:val="clear"/>
            <w:vAlign w:val="center"/>
          </w:tcPr>
          <w:p>
            <w:pPr>
              <w:pStyle w:val="TableContents"/>
              <w:bidi w:val="0"/>
              <w:spacing w:before="0" w:after="283"/>
              <w:jc w:val="left"/>
              <w:rPr/>
            </w:pPr>
            <w:r>
              <w:rPr/>
              <w:t>​</w:t>
            </w:r>
          </w:p>
        </w:tc>
        <w:tc>
          <w:tcPr>
            <w:tcW w:w="19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33" w:type="dxa"/>
            <w:tcBorders>
              <w:bottom w:val="single" w:sz="2" w:space="0" w:color="000000"/>
            </w:tcBorders>
            <w:shd w:fill="CCEEFF" w:val="clear"/>
            <w:tcMar>
              <w:bottom w:w="50" w:type="dxa"/>
            </w:tcMar>
            <w:vAlign w:val="center"/>
          </w:tcPr>
          <w:p>
            <w:pPr>
              <w:pStyle w:val="TableContents"/>
              <w:bidi w:val="0"/>
              <w:spacing w:before="0" w:after="283"/>
              <w:jc w:val="right"/>
              <w:rPr/>
            </w:pPr>
            <w:r>
              <w:rPr/>
              <w:t>19.4</w:t>
            </w:r>
          </w:p>
        </w:tc>
        <w:tc>
          <w:tcPr>
            <w:tcW w:w="196"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343" w:type="dxa"/>
            <w:tcBorders/>
            <w:tcMar>
              <w:bottom w:w="0" w:type="dxa"/>
            </w:tcMar>
            <w:vAlign w:val="center"/>
          </w:tcPr>
          <w:p>
            <w:pPr>
              <w:pStyle w:val="TableContents"/>
              <w:bidi w:val="0"/>
              <w:spacing w:before="0" w:after="0"/>
              <w:jc w:val="left"/>
              <w:rPr>
                <w:spacing w:val="4"/>
              </w:rPr>
            </w:pPr>
            <w:r>
              <w:rPr>
                <w:spacing w:val="4"/>
              </w:rPr>
              <w:t xml:space="preserve">Total intangible asset,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bottom w:val="double" w:sz="8" w:space="0" w:color="000000"/>
            </w:tcBorders>
            <w:tcMar>
              <w:bottom w:w="50" w:type="dxa"/>
            </w:tcMar>
            <w:vAlign w:val="center"/>
          </w:tcPr>
          <w:p>
            <w:pPr>
              <w:pStyle w:val="TableContents"/>
              <w:bidi w:val="0"/>
              <w:spacing w:before="0" w:after="283"/>
              <w:jc w:val="right"/>
              <w:rPr/>
            </w:pPr>
            <w:r>
              <w:rPr/>
              <w:t>$</w:t>
            </w:r>
          </w:p>
        </w:tc>
        <w:tc>
          <w:tcPr>
            <w:tcW w:w="845" w:type="dxa"/>
            <w:tcBorders>
              <w:bottom w:val="double" w:sz="8" w:space="0" w:color="000000"/>
            </w:tcBorders>
            <w:tcMar>
              <w:bottom w:w="50" w:type="dxa"/>
            </w:tcMar>
            <w:vAlign w:val="center"/>
          </w:tcPr>
          <w:p>
            <w:pPr>
              <w:pStyle w:val="TableContents"/>
              <w:bidi w:val="0"/>
              <w:spacing w:before="0" w:after="283"/>
              <w:jc w:val="right"/>
              <w:rPr/>
            </w:pPr>
            <w:r>
              <w:rPr/>
              <w:t>78,124</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267" w:type="dxa"/>
            <w:tcBorders>
              <w:bottom w:val="double" w:sz="8" w:space="0" w:color="000000"/>
            </w:tcBorders>
            <w:tcMar>
              <w:bottom w:w="50" w:type="dxa"/>
            </w:tcMar>
            <w:vAlign w:val="center"/>
          </w:tcPr>
          <w:p>
            <w:pPr>
              <w:pStyle w:val="TableContents"/>
              <w:bidi w:val="0"/>
              <w:spacing w:before="0" w:after="283"/>
              <w:jc w:val="right"/>
              <w:rPr/>
            </w:pPr>
            <w:r>
              <w:rPr/>
              <w:t>$</w:t>
            </w:r>
          </w:p>
        </w:tc>
        <w:tc>
          <w:tcPr>
            <w:tcW w:w="855" w:type="dxa"/>
            <w:tcBorders>
              <w:bottom w:val="double" w:sz="8" w:space="0" w:color="000000"/>
            </w:tcBorders>
            <w:tcMar>
              <w:bottom w:w="50" w:type="dxa"/>
            </w:tcMar>
            <w:vAlign w:val="center"/>
          </w:tcPr>
          <w:p>
            <w:pPr>
              <w:pStyle w:val="TableContents"/>
              <w:bidi w:val="0"/>
              <w:spacing w:before="0" w:after="283"/>
              <w:jc w:val="right"/>
              <w:rPr/>
            </w:pPr>
            <w:r>
              <w:rPr/>
              <w:t>(2,456)</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75,668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bottom w:val="double" w:sz="8" w:space="0" w:color="000000"/>
            </w:tcBorders>
            <w:tcMar>
              <w:bottom w:w="50" w:type="dxa"/>
            </w:tcMar>
            <w:vAlign w:val="center"/>
          </w:tcPr>
          <w:p>
            <w:pPr>
              <w:pStyle w:val="TableContents"/>
              <w:bidi w:val="0"/>
              <w:spacing w:before="0" w:after="283"/>
              <w:jc w:val="right"/>
              <w:rPr/>
            </w:pPr>
            <w:r>
              <w:rPr/>
              <w:t>​</w:t>
            </w:r>
          </w:p>
        </w:tc>
        <w:tc>
          <w:tcPr>
            <w:tcW w:w="933" w:type="dxa"/>
            <w:tcBorders>
              <w:bottom w:val="double" w:sz="8" w:space="0" w:color="000000"/>
            </w:tcBorders>
            <w:tcMar>
              <w:bottom w:w="50" w:type="dxa"/>
            </w:tcMar>
            <w:vAlign w:val="center"/>
          </w:tcPr>
          <w:p>
            <w:pPr>
              <w:pStyle w:val="TableContents"/>
              <w:bidi w:val="0"/>
              <w:spacing w:before="0" w:after="283"/>
              <w:jc w:val="right"/>
              <w:rPr/>
            </w:pPr>
            <w:r>
              <w:rPr/>
              <w:t>19.4</w:t>
            </w:r>
          </w:p>
        </w:tc>
        <w:tc>
          <w:tcPr>
            <w:tcW w:w="196"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56"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intangible assets as of November 30, 2025, are as follows: </w:t>
      </w:r>
    </w:p>
    <w:tbl>
      <w:tblPr>
        <w:tblW w:w="8812" w:type="dxa"/>
        <w:jc w:val="left"/>
        <w:tblInd w:w="1393" w:type="dxa"/>
        <w:tblLayout w:type="fixed"/>
        <w:tblCellMar>
          <w:top w:w="0" w:type="dxa"/>
          <w:left w:w="0" w:type="dxa"/>
          <w:bottom w:w="28" w:type="dxa"/>
          <w:right w:w="0" w:type="dxa"/>
        </w:tblCellMar>
      </w:tblPr>
      <w:tblGrid>
        <w:gridCol w:w="2392"/>
        <w:gridCol w:w="109"/>
        <w:gridCol w:w="109"/>
        <w:gridCol w:w="113"/>
        <w:gridCol w:w="236"/>
        <w:gridCol w:w="803"/>
        <w:gridCol w:w="113"/>
        <w:gridCol w:w="109"/>
        <w:gridCol w:w="109"/>
        <w:gridCol w:w="128"/>
        <w:gridCol w:w="268"/>
        <w:gridCol w:w="856"/>
        <w:gridCol w:w="131"/>
        <w:gridCol w:w="109"/>
        <w:gridCol w:w="109"/>
        <w:gridCol w:w="109"/>
        <w:gridCol w:w="226"/>
        <w:gridCol w:w="766"/>
        <w:gridCol w:w="109"/>
        <w:gridCol w:w="109"/>
        <w:gridCol w:w="109"/>
        <w:gridCol w:w="194"/>
        <w:gridCol w:w="194"/>
        <w:gridCol w:w="943"/>
        <w:gridCol w:w="198"/>
        <w:gridCol w:w="161"/>
      </w:tblGrid>
      <w:tr>
        <w:trPr/>
        <w:tc>
          <w:tcPr>
            <w:tcW w:w="23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Gross Asset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Amortization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Net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Weighted</w:t>
            </w:r>
            <w:r>
              <w:rPr/>
              <w:t xml:space="preserve"> </w:t>
              <w:br/>
            </w:r>
            <w:r>
              <w:rPr>
                <w:spacing w:val="-3"/>
              </w:rPr>
              <w:t>Average</w:t>
            </w:r>
            <w:r>
              <w:rPr/>
              <w:t xml:space="preserve"> </w:t>
              <w:br/>
            </w:r>
            <w:r>
              <w:rPr>
                <w:spacing w:val="-3"/>
              </w:rPr>
              <w:t>Remaining Life</w:t>
            </w:r>
            <w:r>
              <w:rPr/>
              <w:t xml:space="preserve"> </w:t>
              <w:br/>
            </w:r>
            <w:r>
              <w:rPr>
                <w:spacing w:val="-3"/>
              </w:rPr>
              <w:t xml:space="preserve">(Years)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39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Patent licenses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03" w:type="dxa"/>
            <w:tcBorders>
              <w:bottom w:val="single" w:sz="2" w:space="0" w:color="000000"/>
            </w:tcBorders>
            <w:shd w:fill="CCEEFF" w:val="clear"/>
            <w:tcMar>
              <w:bottom w:w="50" w:type="dxa"/>
            </w:tcMar>
            <w:vAlign w:val="center"/>
          </w:tcPr>
          <w:p>
            <w:pPr>
              <w:pStyle w:val="TableContents"/>
              <w:bidi w:val="0"/>
              <w:spacing w:before="0" w:after="283"/>
              <w:jc w:val="right"/>
              <w:rPr/>
            </w:pPr>
            <w:r>
              <w:rPr/>
              <w:t>67,430</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8" w:type="dxa"/>
            <w:tcBorders>
              <w:bottom w:val="single" w:sz="2" w:space="0" w:color="CCEEFF"/>
            </w:tcBorders>
            <w:shd w:fill="CCEEFF" w:val="clear"/>
            <w:vAlign w:val="center"/>
          </w:tcPr>
          <w:p>
            <w:pPr>
              <w:pStyle w:val="TableContents"/>
              <w:bidi w:val="0"/>
              <w:spacing w:before="0" w:after="283"/>
              <w:jc w:val="left"/>
              <w:rPr/>
            </w:pPr>
            <w:r>
              <w:rPr/>
              <w:t>​</w:t>
            </w:r>
          </w:p>
        </w:tc>
        <w:tc>
          <w:tcPr>
            <w:tcW w:w="2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56" w:type="dxa"/>
            <w:tcBorders>
              <w:bottom w:val="single" w:sz="2" w:space="0" w:color="000000"/>
            </w:tcBorders>
            <w:shd w:fill="CCEEFF" w:val="clear"/>
            <w:tcMar>
              <w:bottom w:w="50" w:type="dxa"/>
            </w:tcMar>
            <w:vAlign w:val="center"/>
          </w:tcPr>
          <w:p>
            <w:pPr>
              <w:pStyle w:val="TableContents"/>
              <w:bidi w:val="0"/>
              <w:spacing w:before="0" w:after="283"/>
              <w:jc w:val="right"/>
              <w:rPr/>
            </w:pPr>
            <w:r>
              <w:rPr/>
              <w:t>(1,515)</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65,915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94" w:type="dxa"/>
            <w:tcBorders>
              <w:bottom w:val="single" w:sz="2" w:space="0" w:color="CCEEFF"/>
            </w:tcBorders>
            <w:shd w:fill="CCEEFF" w:val="clear"/>
            <w:vAlign w:val="center"/>
          </w:tcPr>
          <w:p>
            <w:pPr>
              <w:pStyle w:val="TableContents"/>
              <w:bidi w:val="0"/>
              <w:spacing w:before="0" w:after="283"/>
              <w:jc w:val="left"/>
              <w:rPr/>
            </w:pPr>
            <w:r>
              <w:rPr/>
              <w:t>​</w:t>
            </w:r>
          </w:p>
        </w:tc>
        <w:tc>
          <w:tcPr>
            <w:tcW w:w="19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3" w:type="dxa"/>
            <w:tcBorders>
              <w:bottom w:val="single" w:sz="2" w:space="0" w:color="000000"/>
            </w:tcBorders>
            <w:shd w:fill="CCEEFF" w:val="clear"/>
            <w:tcMar>
              <w:bottom w:w="50" w:type="dxa"/>
            </w:tcMar>
            <w:vAlign w:val="center"/>
          </w:tcPr>
          <w:p>
            <w:pPr>
              <w:pStyle w:val="TableContents"/>
              <w:bidi w:val="0"/>
              <w:spacing w:before="0" w:after="283"/>
              <w:jc w:val="right"/>
              <w:rPr/>
            </w:pPr>
            <w:r>
              <w:rPr/>
              <w:t>19.5</w:t>
            </w:r>
          </w:p>
        </w:tc>
        <w:tc>
          <w:tcPr>
            <w:tcW w:w="198"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392" w:type="dxa"/>
            <w:tcBorders/>
            <w:tcMar>
              <w:bottom w:w="0" w:type="dxa"/>
            </w:tcMar>
            <w:vAlign w:val="center"/>
          </w:tcPr>
          <w:p>
            <w:pPr>
              <w:pStyle w:val="TableContents"/>
              <w:bidi w:val="0"/>
              <w:spacing w:before="0" w:after="0"/>
              <w:jc w:val="left"/>
              <w:rPr>
                <w:spacing w:val="4"/>
              </w:rPr>
            </w:pPr>
            <w:r>
              <w:rPr>
                <w:spacing w:val="4"/>
              </w:rPr>
              <w:t xml:space="preserve">Total intangible asset,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bottom w:val="double" w:sz="8" w:space="0" w:color="000000"/>
            </w:tcBorders>
            <w:tcMar>
              <w:bottom w:w="50" w:type="dxa"/>
            </w:tcMar>
            <w:vAlign w:val="center"/>
          </w:tcPr>
          <w:p>
            <w:pPr>
              <w:pStyle w:val="TableContents"/>
              <w:bidi w:val="0"/>
              <w:spacing w:before="0" w:after="283"/>
              <w:jc w:val="right"/>
              <w:rPr/>
            </w:pPr>
            <w:r>
              <w:rPr/>
              <w:t>$</w:t>
            </w:r>
          </w:p>
        </w:tc>
        <w:tc>
          <w:tcPr>
            <w:tcW w:w="803" w:type="dxa"/>
            <w:tcBorders>
              <w:bottom w:val="double" w:sz="8" w:space="0" w:color="000000"/>
            </w:tcBorders>
            <w:tcMar>
              <w:bottom w:w="50" w:type="dxa"/>
            </w:tcMar>
            <w:vAlign w:val="center"/>
          </w:tcPr>
          <w:p>
            <w:pPr>
              <w:pStyle w:val="TableContents"/>
              <w:bidi w:val="0"/>
              <w:spacing w:before="0" w:after="283"/>
              <w:jc w:val="right"/>
              <w:rPr/>
            </w:pPr>
            <w:r>
              <w:rPr/>
              <w:t>67,430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bottom w:val="double" w:sz="8" w:space="0" w:color="000000"/>
            </w:tcBorders>
            <w:tcMar>
              <w:bottom w:w="50" w:type="dxa"/>
            </w:tcMar>
            <w:vAlign w:val="center"/>
          </w:tcPr>
          <w:p>
            <w:pPr>
              <w:pStyle w:val="TableContents"/>
              <w:bidi w:val="0"/>
              <w:spacing w:before="0" w:after="283"/>
              <w:jc w:val="right"/>
              <w:rPr/>
            </w:pPr>
            <w:r>
              <w:rPr/>
              <w:t>$</w:t>
            </w:r>
          </w:p>
        </w:tc>
        <w:tc>
          <w:tcPr>
            <w:tcW w:w="856" w:type="dxa"/>
            <w:tcBorders>
              <w:bottom w:val="double" w:sz="8" w:space="0" w:color="000000"/>
            </w:tcBorders>
            <w:tcMar>
              <w:bottom w:w="50" w:type="dxa"/>
            </w:tcMar>
            <w:vAlign w:val="center"/>
          </w:tcPr>
          <w:p>
            <w:pPr>
              <w:pStyle w:val="TableContents"/>
              <w:bidi w:val="0"/>
              <w:spacing w:before="0" w:after="283"/>
              <w:jc w:val="right"/>
              <w:rPr/>
            </w:pPr>
            <w:r>
              <w:rPr/>
              <w:t>(1,515)</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65,915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bottom w:val="double" w:sz="8" w:space="0" w:color="000000"/>
            </w:tcBorders>
            <w:tcMar>
              <w:bottom w:w="50" w:type="dxa"/>
            </w:tcMar>
            <w:vAlign w:val="center"/>
          </w:tcPr>
          <w:p>
            <w:pPr>
              <w:pStyle w:val="TableContents"/>
              <w:bidi w:val="0"/>
              <w:spacing w:before="0" w:after="283"/>
              <w:jc w:val="right"/>
              <w:rPr/>
            </w:pPr>
            <w:r>
              <w:rPr/>
              <w:t>​</w:t>
            </w:r>
          </w:p>
        </w:tc>
        <w:tc>
          <w:tcPr>
            <w:tcW w:w="943" w:type="dxa"/>
            <w:tcBorders>
              <w:bottom w:val="double" w:sz="8" w:space="0" w:color="000000"/>
            </w:tcBorders>
            <w:tcMar>
              <w:bottom w:w="50" w:type="dxa"/>
            </w:tcMar>
            <w:vAlign w:val="center"/>
          </w:tcPr>
          <w:p>
            <w:pPr>
              <w:pStyle w:val="TableContents"/>
              <w:bidi w:val="0"/>
              <w:spacing w:before="0" w:after="283"/>
              <w:jc w:val="right"/>
              <w:rPr/>
            </w:pPr>
            <w:r>
              <w:rPr/>
              <w:t>19.5</w:t>
            </w:r>
          </w:p>
        </w:tc>
        <w:tc>
          <w:tcPr>
            <w:tcW w:w="19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Aggregate amortization expense was $941 for the three months ended February 28, 2026 (for the three months ended February 28, 2025 — $Nil). Amortization expense is expected to be approximately $3,900 per year for each of the next five fiscal years.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MINERAL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Aurora Uranium Project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18, 2024 (the “Option Effective Date”), Eagle Energy entered into the Aurora Option Agreement with Aurora Energy and its then-wholly owned subsidiary Oregon Energy who, through Oregon Energy, is the owner of 100% interest in the AUP. As part of the Aurora Option Agreement, Aurora Energy, agreed to grant Eagle Energy the sole, exclusive option to acquire all of the issued and outstanding equity interests in Oregon Energy. The option was exercised on February 24, 2026 (Note 5), upon which Eagle Energy acquired 100% of Oregon Energy including all of its right, title and interest in the AUP.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the option, Eagle Energy was required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$300,000 cash consideration on or before December 18, 2024 (paid) </w:t>
      </w:r>
      <w:r>
        <mc:AlternateContent>
          <mc:Choice Requires="wps">
            <w:drawing>
              <wp:anchor behindDoc="0" distT="7366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3"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a measured and/or indicated SK1300 technical report and mineral resource estimate (an “SK1300 Report”) for the project, in accordance with the standards of Subpart 1300 of Regulation S-K of the Securities Act (completed); </w:t>
      </w:r>
      <w:r>
        <mc:AlternateContent>
          <mc:Choice Requires="wps">
            <w:drawing>
              <wp:anchor behindDoc="0" distT="7366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4"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shares of common stock in Eagle Energy with a value of $16,000,000 (“Aurora Option Payment Shares”) on the closing date (issued) of: </w:t>
      </w:r>
      <w:r>
        <mc:AlternateContent>
          <mc:Choice Requires="wps">
            <w:drawing>
              <wp:anchor behindDoc="0" distT="7366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5"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initial public offering of Eagle Energy’s shares and listing thereof on a national securities exchange, or </w:t>
      </w:r>
      <w:r>
        <mc:AlternateContent>
          <mc:Choice Requires="wps">
            <w:drawing>
              <wp:anchor behindDoc="0" distT="73660" distB="0" distL="508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6"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different transaction which results in the listing of Eagle Energy’s shares on a national securities exchange, or </w:t>
      </w:r>
      <w:r>
        <mc:AlternateContent>
          <mc:Choice Requires="wps">
            <w:drawing>
              <wp:anchor behindDoc="0" distT="73660" distB="0" distL="508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7"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of substantially all Eagle Energy’s outstanding equity securities or substantially all of Eagle Energy’s assets by a public company with common equity that is listed on a national securities exchange, in each case prior to May 18, 2025 (the “Listing Event”); and </w:t>
      </w:r>
      <w:r>
        <mc:AlternateContent>
          <mc:Choice Requires="wps">
            <w:drawing>
              <wp:anchor behindDoc="0" distT="74930" distB="0" distL="508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8"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Raise a minimum of $6,800,000 in connection with the Listing Event (met). </w:t>
      </w:r>
      <w:r>
        <mc:AlternateContent>
          <mc:Choice Requires="wps">
            <w:drawing>
              <wp:anchor behindDoc="0" distT="7493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9"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Aurora Energy a 1% NSR in the project’s future revenue (granted), half or all of which may be repurchased by the company for consideration of $1,000,000 or $2,000,000, respectively, prior to commencement of the project’s commercial operations; </w:t>
      </w:r>
      <w:r>
        <mc:AlternateContent>
          <mc:Choice Requires="wps">
            <w:drawing>
              <wp:anchor behindDoc="0" distT="7493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0"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Aurora Option Agreement provided for up to two six-month extensions to the date of the Listing Event, each subject to additional consideration. For the first extension, Eagle Energy was required to pay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$300,000 to Aurora Energy and fund $250,000 of Oregon Energy’s mining expenditures. For the second extension, Eagle Energy was required to pay $400,000 and fund an additional $250,000 of such expenditures.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18, 2025, Eagle Energy exercised its right to the first six-month extension and made an additional payment of $300,000 to Aurora Energy. On November 18, 2025, Eagle Energy exercised its right to the second six-month extension and made an additional payment of $400,000 to Aurora Energy. As part of the extensions, Eagle Energy was obligated to reimburse up to $500,000 of mining operations expenditures of Oregon Energy. As of February 24, 2026, prior to the exercise of the option (Note 5), Eagle Energy made reimbursements totaling $219,545.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26, 2025, Eagle Energy, Aurora Energy, and Oregon Energy executed a First Amendment to the Property Option Agreement. The amendment (i) revised the second extension to complete a Listing Event from a six month period (deadline of May 18, 2026) to a 225 day period (deadline of July 2, 2026), and (ii) provides that the Resource Payment provisions under which Aurora Energy may be entitled to additional payment shares as mentioned hereinafter are amended such that the determination is made following the next newly prepared SK1300 mineral resource update published by the Company.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immediately before the completion of the de-SPAC transaction (Note 4), Eagle Energy, Aurora Energy, and Oregon Energy executed a Second Amendment to the Property Option Agreement. The amendment (i) confirmed the number of Aurora Option Payment Shares to be issued, (ii) set the deadline for grant of NSR to Aurora Energy to be on or before 10 business days after the closing date, and (iii) clarified certain terms and conditions of the Aurora Option Agreement, including terms related to the Resource Payment and the Pre-Feasibility Bonus (as hereinafter defined) are intended to survive closing until those covenants have been fully performed.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Aurora Option Payment Shares to be issued was to be adjusted to provide for additional shares based on an increase in uranium spot price over the period between the Option Effective Date and the Listing Event, equal to the product of (I) 50% of the percentage increase in the spot price and (II) the number of Aurora Option Payment Shares associated with the initial $16,000,000 valuation. If the spot price does not increase, there will be no adjustment to the number of Aurora Option Payment Shares. The value of Aurora Option Payment Shares was adjusted to be $17,109,910 on February 24, 2026, immediately before closing (Note 5).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Aurora Energy may be entitled to additional payment shares (the “Resource Payment”). If the Company identifies a measured and/or indicated mineral resource, in its next newly prepared SK1300 mineral resources update, of at least 40 million pounds of U3O8, Aurora Energy will be entitled to receive $4,000,000 in Resource Payment. Each additional 1,000,000 pounds of U3O8 above 40 million pounds will further increase the total value of the Resource Payment by $200,000, up to a maximum of $1,000,000, resulting in an overall maximum of $5,000,000 of Resource Payment. The number of shares issuable for a Resource Payment is calculated based on the 30-day volume-weighted average trading price (“VWAP”) of the Company’s shares for the 30 trading days prior to the date of the announcement of the SK1300 mineral resource update.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upon completion of a positive pre-feasibility study on the project following a Listing Event, the Company will issue to Aurora Energy additional payment shares (the “Pre-Feasibility Bonus”) with a value of $5,000,000, determined by the 30-day VWAP of the Company’s shares during the 30 days prior to the announcement of the pre-feasibility study.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the Company completed the acquisition of Oregon Energy (Note 5). The number of Aurora Option Payment Shares issued by the Company was calculated based on the deemed transaction price in the BCA of the de-SPAC transaction (Note 4) of $10 per share, as Eagle Energy completed the Listing Event by way of a de-SPAC transaction with SVII on February 24, 2026, with the Company becoming the parent of Eagle Energy and obtaining a listing on Nasdaq. As such, the number of shares issued was 1,710,991. Based on a relative fair value allocation, $12,755,725 of the total cash and share consideration paid was allocated to the mineral rights acquired as a result of the acquisition of Oregon Energy.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capitalized the following acquisition costs for the payments made to Aurora Energy beginning on November 30, 2024 through February 28, 2026. </w:t>
      </w:r>
    </w:p>
    <w:tbl>
      <w:tblPr>
        <w:tblW w:w="7166" w:type="dxa"/>
        <w:jc w:val="left"/>
        <w:tblInd w:w="1393" w:type="dxa"/>
        <w:tblLayout w:type="fixed"/>
        <w:tblCellMar>
          <w:top w:w="0" w:type="dxa"/>
          <w:left w:w="0" w:type="dxa"/>
          <w:bottom w:w="28" w:type="dxa"/>
          <w:right w:w="0" w:type="dxa"/>
        </w:tblCellMar>
      </w:tblPr>
      <w:tblGrid>
        <w:gridCol w:w="5088"/>
        <w:gridCol w:w="109"/>
        <w:gridCol w:w="109"/>
        <w:gridCol w:w="114"/>
        <w:gridCol w:w="236"/>
        <w:gridCol w:w="1242"/>
        <w:gridCol w:w="114"/>
        <w:gridCol w:w="154"/>
      </w:tblGrid>
      <w:tr>
        <w:trPr/>
        <w:tc>
          <w:tcPr>
            <w:tcW w:w="50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Aurora Uranium</w:t>
            </w:r>
            <w:r>
              <w:rPr/>
              <w:t xml:space="preserve"> </w:t>
              <w:br/>
            </w:r>
            <w:r>
              <w:rPr>
                <w:spacing w:val="-3"/>
              </w:rPr>
              <w:t xml:space="preserve">Property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88" w:type="dxa"/>
            <w:tcBorders/>
            <w:shd w:fill="CCEEFF" w:val="clear"/>
            <w:tcMar>
              <w:bottom w:w="0" w:type="dxa"/>
            </w:tcMar>
            <w:vAlign w:val="center"/>
          </w:tcPr>
          <w:p>
            <w:pPr>
              <w:pStyle w:val="TableContents"/>
              <w:bidi w:val="0"/>
              <w:spacing w:before="0" w:after="0"/>
              <w:jc w:val="left"/>
              <w:rPr/>
            </w:pPr>
            <w:r>
              <w:rPr>
                <w:spacing w:val="-4"/>
              </w:rPr>
              <w:t>Balance, November 30, 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88" w:type="dxa"/>
            <w:tcBorders/>
            <w:tcMar>
              <w:bottom w:w="0" w:type="dxa"/>
            </w:tcMar>
            <w:vAlign w:val="center"/>
          </w:tcPr>
          <w:p>
            <w:pPr>
              <w:pStyle w:val="TableContents"/>
              <w:bidi w:val="0"/>
              <w:spacing w:before="0" w:after="0"/>
              <w:ind w:left="200" w:right="0" w:hanging="0"/>
              <w:jc w:val="left"/>
              <w:rPr>
                <w:spacing w:val="4"/>
              </w:rPr>
            </w:pPr>
            <w:r>
              <w:rPr>
                <w:spacing w:val="4"/>
              </w:rPr>
              <w:t xml:space="preserve">Property option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1,000,000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8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Reimbursement of mining operations expenditures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2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50" w:type="dxa"/>
            </w:tcMar>
            <w:vAlign w:val="center"/>
          </w:tcPr>
          <w:p>
            <w:pPr>
              <w:pStyle w:val="TableContents"/>
              <w:bidi w:val="0"/>
              <w:spacing w:before="0" w:after="283"/>
              <w:jc w:val="right"/>
              <w:rPr/>
            </w:pPr>
            <w:r>
              <w:rPr/>
              <w:t>201,390</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88" w:type="dxa"/>
            <w:tcBorders/>
            <w:tcMar>
              <w:bottom w:w="0" w:type="dxa"/>
            </w:tcMar>
            <w:vAlign w:val="center"/>
          </w:tcPr>
          <w:p>
            <w:pPr>
              <w:pStyle w:val="TableContents"/>
              <w:bidi w:val="0"/>
              <w:spacing w:before="0" w:after="0"/>
              <w:jc w:val="left"/>
              <w:rPr/>
            </w:pPr>
            <w:r>
              <w:rPr>
                <w:spacing w:val="-4"/>
              </w:rPr>
              <w:t>Balance, November 30, 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1,201,390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8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Reimbursement of mining operations expenditures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18,155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88"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Issuance common stock (Note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6"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11,536,180</w:t>
            </w:r>
          </w:p>
        </w:tc>
        <w:tc>
          <w:tcPr>
            <w:tcW w:w="114"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88" w:type="dxa"/>
            <w:tcBorders/>
            <w:shd w:fill="CCEEFF" w:val="clear"/>
            <w:tcMar>
              <w:bottom w:w="0" w:type="dxa"/>
            </w:tcMar>
            <w:vAlign w:val="center"/>
          </w:tcPr>
          <w:p>
            <w:pPr>
              <w:pStyle w:val="TableContents"/>
              <w:bidi w:val="0"/>
              <w:spacing w:before="0" w:after="0"/>
              <w:jc w:val="left"/>
              <w:rPr/>
            </w:pPr>
            <w:r>
              <w:rPr>
                <w:spacing w:val="-4"/>
              </w:rPr>
              <w:t>Balance, February 28, 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42" w:type="dxa"/>
            <w:tcBorders>
              <w:bottom w:val="double" w:sz="8" w:space="0" w:color="000000"/>
            </w:tcBorders>
            <w:shd w:fill="CCEEFF" w:val="clear"/>
            <w:tcMar>
              <w:bottom w:w="50" w:type="dxa"/>
            </w:tcMar>
            <w:vAlign w:val="center"/>
          </w:tcPr>
          <w:p>
            <w:pPr>
              <w:pStyle w:val="TableContents"/>
              <w:bidi w:val="0"/>
              <w:spacing w:before="0" w:after="283"/>
              <w:jc w:val="right"/>
              <w:rPr/>
            </w:pPr>
            <w:r>
              <w:rPr/>
              <w:t>12,755,725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3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OPERATING 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16, 2025, the Company entered into an office lease agreement in New York, NY for 5 years and 2 months from the lease commencement date, which is defined as the first business day following the substantial completion of the landlord’s work and delivery of possession of the premises to the Company. The lease commencement date was determined to be January 1, 2026, when the Company obtained possession of the premises. Lease liabilities are measured at the commencement date based on the present value of future lease payments.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3, 2025, the Company entered into an office lease agreement in Vancouver, Canada for 2 years. Lease liabilities are measured at the commencement date based on the present value of future lease payments.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Company’s lease did not provide an implicit rate, the Company uses its incremental borrowing rate based on the information available at the commencement date in determining the present value of future payments. The Company used a discount rate of 10.00% in determining its lease liabilities.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discount is the rate of interest that the Company would have to pay to borrow over a similar term, and with a similar security, the funds necessary to obtain an asset of comparable value to the right-of-use asset in a similar economic environment. The discount rate therefore reflects what the Company “would have to pay”, which requires estimation when no observable rates are available or where the applicable rates need to be adjusted to reflect the terms and conditions of the lease. The Company estimates the discount using observable inputs (such as market interest rates) when available and is required to make certain entity-specific estimates. The Company determined its discount rates based on the rate used by comparable public companies.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net lease cost and other supplemental lease information: </w:t>
      </w:r>
    </w:p>
    <w:tbl>
      <w:tblPr>
        <w:tblW w:w="8812" w:type="dxa"/>
        <w:jc w:val="left"/>
        <w:tblInd w:w="1393" w:type="dxa"/>
        <w:tblLayout w:type="fixed"/>
        <w:tblCellMar>
          <w:top w:w="0" w:type="dxa"/>
          <w:left w:w="0" w:type="dxa"/>
          <w:bottom w:w="28" w:type="dxa"/>
          <w:right w:w="0" w:type="dxa"/>
        </w:tblCellMar>
      </w:tblPr>
      <w:tblGrid>
        <w:gridCol w:w="3553"/>
        <w:gridCol w:w="109"/>
        <w:gridCol w:w="109"/>
        <w:gridCol w:w="187"/>
        <w:gridCol w:w="388"/>
        <w:gridCol w:w="1570"/>
        <w:gridCol w:w="187"/>
        <w:gridCol w:w="109"/>
        <w:gridCol w:w="109"/>
        <w:gridCol w:w="320"/>
        <w:gridCol w:w="667"/>
        <w:gridCol w:w="1023"/>
        <w:gridCol w:w="323"/>
        <w:gridCol w:w="158"/>
      </w:tblGrid>
      <w:tr>
        <w:trPr/>
        <w:tc>
          <w:tcPr>
            <w:tcW w:w="35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3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three months</w:t>
            </w:r>
            <w:r>
              <w:rPr/>
              <w:t xml:space="preserve"> </w:t>
              <w:br/>
            </w:r>
            <w:r>
              <w:rPr>
                <w:spacing w:val="-3"/>
              </w:rPr>
              <w:t xml:space="preserve">ended February 28, 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three months</w:t>
            </w:r>
            <w:r>
              <w:rPr/>
              <w:t xml:space="preserve"> </w:t>
              <w:br/>
            </w:r>
            <w:r>
              <w:rPr>
                <w:spacing w:val="-3"/>
              </w:rPr>
              <w:t xml:space="preserve">ended February 28, 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553" w:type="dxa"/>
            <w:tcBorders/>
            <w:shd w:fill="CCEEFF" w:val="clear"/>
            <w:tcMar>
              <w:bottom w:w="0" w:type="dxa"/>
            </w:tcMar>
            <w:vAlign w:val="center"/>
          </w:tcPr>
          <w:p>
            <w:pPr>
              <w:pStyle w:val="TableContents"/>
              <w:bidi w:val="0"/>
              <w:spacing w:before="0" w:after="283"/>
              <w:jc w:val="left"/>
              <w:rPr>
                <w:spacing w:val="4"/>
              </w:rPr>
            </w:pPr>
            <w:r>
              <w:rPr>
                <w:spacing w:val="4"/>
              </w:rPr>
              <w:t xml:space="preserve">Lease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388" w:type="dxa"/>
            <w:tcBorders/>
            <w:shd w:fill="CCEEFF" w:val="clear"/>
            <w:tcMar>
              <w:bottom w:w="0" w:type="dxa"/>
            </w:tcMar>
            <w:vAlign w:val="center"/>
          </w:tcPr>
          <w:p>
            <w:pPr>
              <w:pStyle w:val="TableContents"/>
              <w:bidi w:val="0"/>
              <w:spacing w:before="0" w:after="283"/>
              <w:jc w:val="right"/>
              <w:rPr/>
            </w:pPr>
            <w:r>
              <w:rPr/>
              <w:t>​</w:t>
            </w:r>
          </w:p>
        </w:tc>
        <w:tc>
          <w:tcPr>
            <w:tcW w:w="1570" w:type="dxa"/>
            <w:tcBorders/>
            <w:shd w:fill="CCEEFF" w:val="clear"/>
            <w:tcMar>
              <w:bottom w:w="0" w:type="dxa"/>
            </w:tcMar>
            <w:vAlign w:val="center"/>
          </w:tcPr>
          <w:p>
            <w:pPr>
              <w:pStyle w:val="TableContents"/>
              <w:bidi w:val="0"/>
              <w:spacing w:before="0" w:after="283"/>
              <w:jc w:val="righ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0" w:type="dxa"/>
            <w:tcBorders/>
            <w:shd w:fill="CCEEFF" w:val="clear"/>
            <w:tcMar>
              <w:bottom w:w="0" w:type="dxa"/>
            </w:tcMar>
            <w:vAlign w:val="center"/>
          </w:tcPr>
          <w:p>
            <w:pPr>
              <w:pStyle w:val="TableContents"/>
              <w:bidi w:val="0"/>
              <w:spacing w:before="0" w:after="283"/>
              <w:jc w:val="lef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w:t>
            </w:r>
          </w:p>
        </w:tc>
        <w:tc>
          <w:tcPr>
            <w:tcW w:w="32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553" w:type="dxa"/>
            <w:tcBorders/>
            <w:tcMar>
              <w:bottom w:w="0" w:type="dxa"/>
            </w:tcMar>
            <w:vAlign w:val="center"/>
          </w:tcPr>
          <w:p>
            <w:pPr>
              <w:pStyle w:val="TableContents"/>
              <w:bidi w:val="0"/>
              <w:spacing w:before="0" w:after="0"/>
              <w:jc w:val="left"/>
              <w:rPr>
                <w:spacing w:val="4"/>
              </w:rPr>
            </w:pPr>
            <w:r>
              <w:rPr>
                <w:spacing w:val="4"/>
              </w:rPr>
              <w:t xml:space="preserve">Operating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388" w:type="dxa"/>
            <w:tcBorders/>
            <w:tcMar>
              <w:bottom w:w="0" w:type="dxa"/>
            </w:tcMar>
            <w:vAlign w:val="center"/>
          </w:tcPr>
          <w:p>
            <w:pPr>
              <w:pStyle w:val="TableContents"/>
              <w:bidi w:val="0"/>
              <w:spacing w:before="0" w:after="283"/>
              <w:jc w:val="right"/>
              <w:rPr/>
            </w:pPr>
            <w:r>
              <w:rPr/>
              <w:t>$</w:t>
            </w:r>
          </w:p>
        </w:tc>
        <w:tc>
          <w:tcPr>
            <w:tcW w:w="1570" w:type="dxa"/>
            <w:tcBorders/>
            <w:tcMar>
              <w:bottom w:w="0" w:type="dxa"/>
            </w:tcMar>
            <w:vAlign w:val="center"/>
          </w:tcPr>
          <w:p>
            <w:pPr>
              <w:pStyle w:val="TableContents"/>
              <w:bidi w:val="0"/>
              <w:spacing w:before="0" w:after="283"/>
              <w:jc w:val="right"/>
              <w:rPr/>
            </w:pPr>
            <w:r>
              <w:rPr/>
              <w:t>39,759</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 w:type="dxa"/>
            <w:tcBorders/>
            <w:tcMar>
              <w:bottom w:w="0" w:type="dxa"/>
            </w:tcMar>
            <w:vAlign w:val="center"/>
          </w:tcPr>
          <w:p>
            <w:pPr>
              <w:pStyle w:val="TableContents"/>
              <w:bidi w:val="0"/>
              <w:spacing w:before="0" w:after="283"/>
              <w:jc w:val="left"/>
              <w:rPr/>
            </w:pPr>
            <w:r>
              <w:rPr/>
              <w:t>​</w:t>
            </w:r>
          </w:p>
        </w:tc>
        <w:tc>
          <w:tcPr>
            <w:tcW w:w="667"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 —</w:t>
            </w:r>
          </w:p>
        </w:tc>
        <w:tc>
          <w:tcPr>
            <w:tcW w:w="32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553" w:type="dxa"/>
            <w:tcBorders/>
            <w:shd w:fill="CCEEFF" w:val="clear"/>
            <w:tcMar>
              <w:bottom w:w="0" w:type="dxa"/>
            </w:tcMar>
            <w:vAlign w:val="center"/>
          </w:tcPr>
          <w:p>
            <w:pPr>
              <w:pStyle w:val="TableContents"/>
              <w:bidi w:val="0"/>
              <w:spacing w:before="0" w:after="0"/>
              <w:jc w:val="left"/>
              <w:rPr>
                <w:spacing w:val="4"/>
              </w:rPr>
            </w:pPr>
            <w:r>
              <w:rPr>
                <w:spacing w:val="4"/>
              </w:rPr>
              <w:t xml:space="preserve">Short term lease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388" w:type="dxa"/>
            <w:tcBorders/>
            <w:shd w:fill="CCEEFF" w:val="clear"/>
            <w:tcMar>
              <w:bottom w:w="0" w:type="dxa"/>
            </w:tcMar>
            <w:vAlign w:val="center"/>
          </w:tcPr>
          <w:p>
            <w:pPr>
              <w:pStyle w:val="TableContents"/>
              <w:bidi w:val="0"/>
              <w:spacing w:before="0" w:after="283"/>
              <w:jc w:val="right"/>
              <w:rPr/>
            </w:pPr>
            <w:r>
              <w:rPr/>
              <w:t>​</w:t>
            </w:r>
          </w:p>
        </w:tc>
        <w:tc>
          <w:tcPr>
            <w:tcW w:w="1570" w:type="dxa"/>
            <w:tcBorders/>
            <w:shd w:fill="CCEEFF" w:val="clear"/>
            <w:tcMar>
              <w:bottom w:w="0" w:type="dxa"/>
            </w:tcMar>
            <w:vAlign w:val="center"/>
          </w:tcPr>
          <w:p>
            <w:pPr>
              <w:pStyle w:val="TableContents"/>
              <w:bidi w:val="0"/>
              <w:spacing w:before="0" w:after="283"/>
              <w:jc w:val="right"/>
              <w:rPr/>
            </w:pPr>
            <w:r>
              <w:rPr/>
              <w:t>32,983</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0" w:type="dxa"/>
            <w:tcBorders/>
            <w:shd w:fill="CCEEFF" w:val="clear"/>
            <w:tcMar>
              <w:bottom w:w="0" w:type="dxa"/>
            </w:tcMar>
            <w:vAlign w:val="center"/>
          </w:tcPr>
          <w:p>
            <w:pPr>
              <w:pStyle w:val="TableContents"/>
              <w:bidi w:val="0"/>
              <w:spacing w:before="0" w:after="283"/>
              <w:jc w:val="lef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w:t>
            </w:r>
          </w:p>
        </w:tc>
        <w:tc>
          <w:tcPr>
            <w:tcW w:w="32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553" w:type="dxa"/>
            <w:tcBorders/>
            <w:tcMar>
              <w:bottom w:w="0" w:type="dxa"/>
            </w:tcMar>
            <w:vAlign w:val="center"/>
          </w:tcPr>
          <w:p>
            <w:pPr>
              <w:pStyle w:val="TableContents"/>
              <w:bidi w:val="0"/>
              <w:spacing w:before="0" w:after="0"/>
              <w:jc w:val="left"/>
              <w:rPr>
                <w:spacing w:val="4"/>
              </w:rPr>
            </w:pPr>
            <w:r>
              <w:rPr>
                <w:spacing w:val="4"/>
              </w:rPr>
              <w:t xml:space="preserve">Net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388" w:type="dxa"/>
            <w:tcBorders/>
            <w:tcMar>
              <w:bottom w:w="0" w:type="dxa"/>
            </w:tcMar>
            <w:vAlign w:val="center"/>
          </w:tcPr>
          <w:p>
            <w:pPr>
              <w:pStyle w:val="TableContents"/>
              <w:bidi w:val="0"/>
              <w:spacing w:before="0" w:after="283"/>
              <w:jc w:val="right"/>
              <w:rPr/>
            </w:pPr>
            <w:r>
              <w:rPr/>
              <w:t>​</w:t>
            </w:r>
          </w:p>
        </w:tc>
        <w:tc>
          <w:tcPr>
            <w:tcW w:w="1570" w:type="dxa"/>
            <w:tcBorders/>
            <w:tcMar>
              <w:bottom w:w="0" w:type="dxa"/>
            </w:tcMar>
            <w:vAlign w:val="center"/>
          </w:tcPr>
          <w:p>
            <w:pPr>
              <w:pStyle w:val="TableContents"/>
              <w:bidi w:val="0"/>
              <w:spacing w:before="0" w:after="283"/>
              <w:jc w:val="right"/>
              <w:rPr/>
            </w:pPr>
            <w:r>
              <w:rPr/>
              <w:t>72,742</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 w:type="dxa"/>
            <w:tcBorders/>
            <w:tcMar>
              <w:bottom w:w="0" w:type="dxa"/>
            </w:tcMar>
            <w:vAlign w:val="center"/>
          </w:tcPr>
          <w:p>
            <w:pPr>
              <w:pStyle w:val="TableContents"/>
              <w:bidi w:val="0"/>
              <w:spacing w:before="0" w:after="283"/>
              <w:jc w:val="left"/>
              <w:rPr/>
            </w:pPr>
            <w:r>
              <w:rPr/>
              <w:t>​</w:t>
            </w:r>
          </w:p>
        </w:tc>
        <w:tc>
          <w:tcPr>
            <w:tcW w:w="667"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w:t>
            </w:r>
          </w:p>
        </w:tc>
        <w:tc>
          <w:tcPr>
            <w:tcW w:w="32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553" w:type="dxa"/>
            <w:tcBorders/>
            <w:shd w:fill="CCEEFF" w:val="clear"/>
            <w:tcMar>
              <w:bottom w:w="0" w:type="dxa"/>
            </w:tcMar>
            <w:vAlign w:val="center"/>
          </w:tcPr>
          <w:p>
            <w:pPr>
              <w:pStyle w:val="TableContents"/>
              <w:bidi w:val="0"/>
              <w:spacing w:before="0" w:after="0"/>
              <w:jc w:val="left"/>
              <w:rPr>
                <w:spacing w:val="4"/>
              </w:rPr>
            </w:pPr>
            <w:r>
              <w:rPr>
                <w:spacing w:val="4"/>
              </w:rPr>
              <w:t xml:space="preserve">Cash paid for operating 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388" w:type="dxa"/>
            <w:tcBorders/>
            <w:shd w:fill="CCEEFF" w:val="clear"/>
            <w:tcMar>
              <w:bottom w:w="0" w:type="dxa"/>
            </w:tcMar>
            <w:vAlign w:val="center"/>
          </w:tcPr>
          <w:p>
            <w:pPr>
              <w:pStyle w:val="TableContents"/>
              <w:bidi w:val="0"/>
              <w:spacing w:before="0" w:after="283"/>
              <w:jc w:val="right"/>
              <w:rPr/>
            </w:pPr>
            <w:r>
              <w:rPr/>
              <w:t>$</w:t>
            </w:r>
          </w:p>
        </w:tc>
        <w:tc>
          <w:tcPr>
            <w:tcW w:w="1570" w:type="dxa"/>
            <w:tcBorders/>
            <w:shd w:fill="CCEEFF" w:val="clear"/>
            <w:tcMar>
              <w:bottom w:w="0" w:type="dxa"/>
            </w:tcMar>
            <w:vAlign w:val="center"/>
          </w:tcPr>
          <w:p>
            <w:pPr>
              <w:pStyle w:val="TableContents"/>
              <w:bidi w:val="0"/>
              <w:spacing w:before="0" w:after="283"/>
              <w:jc w:val="right"/>
              <w:rPr/>
            </w:pPr>
            <w:r>
              <w:rPr/>
              <w:t>(15,121)</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0" w:type="dxa"/>
            <w:tcBorders/>
            <w:shd w:fill="CCEEFF" w:val="clear"/>
            <w:tcMar>
              <w:bottom w:w="0" w:type="dxa"/>
            </w:tcMar>
            <w:vAlign w:val="center"/>
          </w:tcPr>
          <w:p>
            <w:pPr>
              <w:pStyle w:val="TableContents"/>
              <w:bidi w:val="0"/>
              <w:spacing w:before="0" w:after="283"/>
              <w:jc w:val="lef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w:t>
            </w:r>
          </w:p>
        </w:tc>
        <w:tc>
          <w:tcPr>
            <w:tcW w:w="32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balance sheet information as of February 28, 2026 and November 30, 2025: </w:t>
      </w:r>
    </w:p>
    <w:tbl>
      <w:tblPr>
        <w:tblW w:w="8812" w:type="dxa"/>
        <w:jc w:val="left"/>
        <w:tblInd w:w="1393" w:type="dxa"/>
        <w:tblLayout w:type="fixed"/>
        <w:tblCellMar>
          <w:top w:w="0" w:type="dxa"/>
          <w:left w:w="0" w:type="dxa"/>
          <w:bottom w:w="50" w:type="dxa"/>
          <w:right w:w="0" w:type="dxa"/>
        </w:tblCellMar>
      </w:tblPr>
      <w:tblGrid>
        <w:gridCol w:w="4400"/>
        <w:gridCol w:w="109"/>
        <w:gridCol w:w="109"/>
        <w:gridCol w:w="150"/>
        <w:gridCol w:w="312"/>
        <w:gridCol w:w="1224"/>
        <w:gridCol w:w="150"/>
        <w:gridCol w:w="109"/>
        <w:gridCol w:w="109"/>
        <w:gridCol w:w="177"/>
        <w:gridCol w:w="369"/>
        <w:gridCol w:w="1257"/>
        <w:gridCol w:w="179"/>
        <w:gridCol w:w="158"/>
      </w:tblGrid>
      <w:tr>
        <w:trPr/>
        <w:tc>
          <w:tcPr>
            <w:tcW w:w="4400" w:type="dxa"/>
            <w:tcBorders>
              <w:bottom w:val="single" w:sz="2" w:space="0" w:color="000000"/>
            </w:tcBorders>
            <w:vAlign w:val="center"/>
          </w:tcPr>
          <w:p>
            <w:pPr>
              <w:pStyle w:val="TableContents"/>
              <w:bidi w:val="0"/>
              <w:spacing w:before="0" w:after="0"/>
              <w:jc w:val="left"/>
              <w:rPr>
                <w:spacing w:val="-3"/>
              </w:rPr>
            </w:pPr>
            <w:r>
              <w:rPr>
                <w:spacing w:val="-3"/>
              </w:rPr>
              <w:t xml:space="preserve">Lease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February 28,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November 30, 2025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00" w:type="dxa"/>
            <w:tcBorders/>
            <w:shd w:fill="CCEEFF" w:val="clear"/>
            <w:tcMar>
              <w:bottom w:w="0" w:type="dxa"/>
            </w:tcMar>
            <w:vAlign w:val="center"/>
          </w:tcPr>
          <w:p>
            <w:pPr>
              <w:pStyle w:val="TableContents"/>
              <w:bidi w:val="0"/>
              <w:spacing w:before="0" w:after="0"/>
              <w:jc w:val="left"/>
              <w:rPr>
                <w:spacing w:val="4"/>
              </w:rPr>
            </w:pPr>
            <w:r>
              <w:rPr>
                <w:spacing w:val="4"/>
              </w:rPr>
              <w:t xml:space="preserve">Current portion of operating 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2" w:type="dxa"/>
            <w:tcBorders/>
            <w:shd w:fill="CCEEFF" w:val="clear"/>
            <w:tcMar>
              <w:bottom w:w="0" w:type="dxa"/>
            </w:tcMar>
            <w:vAlign w:val="center"/>
          </w:tcPr>
          <w:p>
            <w:pPr>
              <w:pStyle w:val="TableContents"/>
              <w:bidi w:val="0"/>
              <w:spacing w:before="0" w:after="283"/>
              <w:jc w:val="right"/>
              <w:rPr/>
            </w:pPr>
            <w:r>
              <w:rPr/>
              <w:t>$</w:t>
            </w:r>
          </w:p>
        </w:tc>
        <w:tc>
          <w:tcPr>
            <w:tcW w:w="1224" w:type="dxa"/>
            <w:tcBorders/>
            <w:shd w:fill="CCEEFF" w:val="clear"/>
            <w:tcMar>
              <w:bottom w:w="0" w:type="dxa"/>
            </w:tcMar>
            <w:vAlign w:val="center"/>
          </w:tcPr>
          <w:p>
            <w:pPr>
              <w:pStyle w:val="TableContents"/>
              <w:bidi w:val="0"/>
              <w:spacing w:before="0" w:after="283"/>
              <w:jc w:val="right"/>
              <w:rPr/>
            </w:pPr>
            <w:r>
              <w:rPr/>
              <w:t>135,951</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369" w:type="dxa"/>
            <w:tcBorders/>
            <w:shd w:fill="CCEEFF" w:val="clear"/>
            <w:tcMar>
              <w:bottom w:w="0" w:type="dxa"/>
            </w:tcMar>
            <w:vAlign w:val="center"/>
          </w:tcPr>
          <w:p>
            <w:pPr>
              <w:pStyle w:val="TableContents"/>
              <w:bidi w:val="0"/>
              <w:spacing w:before="0" w:after="283"/>
              <w:jc w:val="right"/>
              <w:rPr/>
            </w:pPr>
            <w:r>
              <w:rPr/>
              <w:t>$</w:t>
            </w:r>
          </w:p>
        </w:tc>
        <w:tc>
          <w:tcPr>
            <w:tcW w:w="1257" w:type="dxa"/>
            <w:tcBorders/>
            <w:shd w:fill="CCEEFF" w:val="clear"/>
            <w:tcMar>
              <w:bottom w:w="0" w:type="dxa"/>
            </w:tcMar>
            <w:vAlign w:val="center"/>
          </w:tcPr>
          <w:p>
            <w:pPr>
              <w:pStyle w:val="TableContents"/>
              <w:bidi w:val="0"/>
              <w:spacing w:before="0" w:after="283"/>
              <w:jc w:val="right"/>
              <w:rPr/>
            </w:pPr>
            <w:r>
              <w:rPr/>
              <w:t>33,155</w:t>
            </w:r>
          </w:p>
        </w:tc>
        <w:tc>
          <w:tcPr>
            <w:tcW w:w="17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00" w:type="dxa"/>
            <w:tcBorders>
              <w:bottom w:val="single" w:sz="2" w:space="0" w:color="FFFFFF"/>
            </w:tcBorders>
            <w:vAlign w:val="center"/>
          </w:tcPr>
          <w:p>
            <w:pPr>
              <w:pStyle w:val="TableContents"/>
              <w:bidi w:val="0"/>
              <w:spacing w:before="0" w:after="0"/>
              <w:jc w:val="left"/>
              <w:rPr>
                <w:spacing w:val="4"/>
              </w:rPr>
            </w:pPr>
            <w:r>
              <w:rPr>
                <w:spacing w:val="4"/>
              </w:rPr>
              <w:t xml:space="preserve">Long-term portion of operating lease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312" w:type="dxa"/>
            <w:tcBorders>
              <w:bottom w:val="single" w:sz="2" w:space="0" w:color="000000"/>
            </w:tcBorders>
            <w:vAlign w:val="center"/>
          </w:tcPr>
          <w:p>
            <w:pPr>
              <w:pStyle w:val="TableContents"/>
              <w:bidi w:val="0"/>
              <w:spacing w:before="0" w:after="283"/>
              <w:jc w:val="right"/>
              <w:rPr/>
            </w:pPr>
            <w:r>
              <w:rPr/>
              <w:t>​</w:t>
            </w:r>
          </w:p>
        </w:tc>
        <w:tc>
          <w:tcPr>
            <w:tcW w:w="1224" w:type="dxa"/>
            <w:tcBorders>
              <w:bottom w:val="single" w:sz="2" w:space="0" w:color="000000"/>
            </w:tcBorders>
            <w:vAlign w:val="center"/>
          </w:tcPr>
          <w:p>
            <w:pPr>
              <w:pStyle w:val="TableContents"/>
              <w:bidi w:val="0"/>
              <w:spacing w:before="0" w:after="283"/>
              <w:jc w:val="right"/>
              <w:rPr/>
            </w:pPr>
            <w:r>
              <w:rPr/>
              <w:t>631,044</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7" w:type="dxa"/>
            <w:tcBorders>
              <w:bottom w:val="single" w:sz="2" w:space="0" w:color="FFFFFF"/>
            </w:tcBorders>
            <w:tcMar>
              <w:bottom w:w="28" w:type="dxa"/>
            </w:tcMar>
            <w:vAlign w:val="center"/>
          </w:tcPr>
          <w:p>
            <w:pPr>
              <w:pStyle w:val="TableContents"/>
              <w:bidi w:val="0"/>
              <w:spacing w:before="0" w:after="283"/>
              <w:jc w:val="left"/>
              <w:rPr/>
            </w:pPr>
            <w:r>
              <w:rPr/>
              <w:t>​</w:t>
            </w:r>
          </w:p>
        </w:tc>
        <w:tc>
          <w:tcPr>
            <w:tcW w:w="369" w:type="dxa"/>
            <w:tcBorders>
              <w:bottom w:val="single" w:sz="2" w:space="0" w:color="000000"/>
            </w:tcBorders>
            <w:vAlign w:val="center"/>
          </w:tcPr>
          <w:p>
            <w:pPr>
              <w:pStyle w:val="TableContents"/>
              <w:bidi w:val="0"/>
              <w:spacing w:before="0" w:after="283"/>
              <w:jc w:val="right"/>
              <w:rPr/>
            </w:pPr>
            <w:r>
              <w:rPr/>
              <w:t>​</w:t>
            </w:r>
          </w:p>
        </w:tc>
        <w:tc>
          <w:tcPr>
            <w:tcW w:w="1257" w:type="dxa"/>
            <w:tcBorders>
              <w:bottom w:val="single" w:sz="2" w:space="0" w:color="000000"/>
            </w:tcBorders>
            <w:vAlign w:val="center"/>
          </w:tcPr>
          <w:p>
            <w:pPr>
              <w:pStyle w:val="TableContents"/>
              <w:bidi w:val="0"/>
              <w:spacing w:before="0" w:after="283"/>
              <w:jc w:val="right"/>
              <w:rPr/>
            </w:pPr>
            <w:r>
              <w:rPr/>
              <w:t>55,086</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0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2" w:type="dxa"/>
            <w:tcBorders>
              <w:bottom w:val="double" w:sz="8" w:space="0" w:color="000000"/>
            </w:tcBorders>
            <w:shd w:fill="CCEEFF" w:val="clear"/>
            <w:vAlign w:val="center"/>
          </w:tcPr>
          <w:p>
            <w:pPr>
              <w:pStyle w:val="TableContents"/>
              <w:bidi w:val="0"/>
              <w:spacing w:before="0" w:after="283"/>
              <w:jc w:val="right"/>
              <w:rPr/>
            </w:pPr>
            <w:r>
              <w:rPr/>
              <w:t>$</w:t>
            </w:r>
          </w:p>
        </w:tc>
        <w:tc>
          <w:tcPr>
            <w:tcW w:w="1224" w:type="dxa"/>
            <w:tcBorders>
              <w:bottom w:val="double" w:sz="8" w:space="0" w:color="000000"/>
            </w:tcBorders>
            <w:shd w:fill="CCEEFF" w:val="clear"/>
            <w:vAlign w:val="center"/>
          </w:tcPr>
          <w:p>
            <w:pPr>
              <w:pStyle w:val="TableContents"/>
              <w:bidi w:val="0"/>
              <w:spacing w:before="0" w:after="283"/>
              <w:jc w:val="right"/>
              <w:rPr/>
            </w:pPr>
            <w:r>
              <w:rPr/>
              <w:t>766,995</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369" w:type="dxa"/>
            <w:tcBorders>
              <w:bottom w:val="double" w:sz="8" w:space="0" w:color="000000"/>
            </w:tcBorders>
            <w:shd w:fill="CCEEFF" w:val="clear"/>
            <w:vAlign w:val="center"/>
          </w:tcPr>
          <w:p>
            <w:pPr>
              <w:pStyle w:val="TableContents"/>
              <w:bidi w:val="0"/>
              <w:spacing w:before="0" w:after="283"/>
              <w:jc w:val="right"/>
              <w:rPr/>
            </w:pPr>
            <w:r>
              <w:rPr/>
              <w:t>$</w:t>
            </w:r>
          </w:p>
        </w:tc>
        <w:tc>
          <w:tcPr>
            <w:tcW w:w="1257" w:type="dxa"/>
            <w:tcBorders>
              <w:bottom w:val="double" w:sz="8" w:space="0" w:color="000000"/>
            </w:tcBorders>
            <w:shd w:fill="CCEEFF" w:val="clear"/>
            <w:vAlign w:val="center"/>
          </w:tcPr>
          <w:p>
            <w:pPr>
              <w:pStyle w:val="TableContents"/>
              <w:bidi w:val="0"/>
              <w:spacing w:before="0" w:after="283"/>
              <w:jc w:val="right"/>
              <w:rPr/>
            </w:pPr>
            <w:r>
              <w:rPr/>
              <w:t>88,241</w:t>
            </w:r>
          </w:p>
        </w:tc>
        <w:tc>
          <w:tcPr>
            <w:tcW w:w="17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minimum lease payments to be paid by the Company as a lessee as of February 28, 2026 are as follows: </w:t>
      </w:r>
    </w:p>
    <w:tbl>
      <w:tblPr>
        <w:tblW w:w="6835" w:type="dxa"/>
        <w:jc w:val="left"/>
        <w:tblInd w:w="1393" w:type="dxa"/>
        <w:tblLayout w:type="fixed"/>
        <w:tblCellMar>
          <w:top w:w="0" w:type="dxa"/>
          <w:left w:w="0" w:type="dxa"/>
          <w:bottom w:w="0" w:type="dxa"/>
          <w:right w:w="0" w:type="dxa"/>
        </w:tblCellMar>
      </w:tblPr>
      <w:tblGrid>
        <w:gridCol w:w="124"/>
        <w:gridCol w:w="4859"/>
        <w:gridCol w:w="109"/>
        <w:gridCol w:w="109"/>
        <w:gridCol w:w="109"/>
        <w:gridCol w:w="226"/>
        <w:gridCol w:w="103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859" w:type="dxa"/>
            <w:tcBorders/>
            <w:shd w:fill="CCEEFF" w:val="clear"/>
            <w:vAlign w:val="center"/>
          </w:tcPr>
          <w:p>
            <w:pPr>
              <w:pStyle w:val="TableContents"/>
              <w:bidi w:val="0"/>
              <w:spacing w:before="0" w:after="283"/>
              <w:jc w:val="left"/>
              <w:rPr>
                <w:spacing w:val="4"/>
              </w:rPr>
            </w:pPr>
            <w:r>
              <w:rPr>
                <w:spacing w:val="4"/>
              </w:rPr>
              <w:t xml:space="preserve">Operating lease commitments and lease liability: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3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59" w:type="dxa"/>
            <w:tcBorders/>
            <w:vAlign w:val="center"/>
          </w:tcPr>
          <w:p>
            <w:pPr>
              <w:pStyle w:val="TableContents"/>
              <w:bidi w:val="0"/>
              <w:spacing w:before="0" w:after="0"/>
              <w:jc w:val="left"/>
              <w:rPr>
                <w:spacing w:val="4"/>
              </w:rPr>
            </w:pPr>
            <w:r>
              <w:rPr>
                <w:spacing w:val="4"/>
              </w:rPr>
              <w:t xml:space="preserve">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36" w:type="dxa"/>
            <w:tcBorders/>
            <w:vAlign w:val="center"/>
          </w:tcPr>
          <w:p>
            <w:pPr>
              <w:pStyle w:val="TableContents"/>
              <w:bidi w:val="0"/>
              <w:spacing w:before="0" w:after="283"/>
              <w:jc w:val="right"/>
              <w:rPr/>
            </w:pPr>
            <w:r>
              <w:rPr/>
              <w:t>187,308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59" w:type="dxa"/>
            <w:tcBorders/>
            <w:shd w:fill="CCEEFF" w:val="clear"/>
            <w:vAlign w:val="center"/>
          </w:tcPr>
          <w:p>
            <w:pPr>
              <w:pStyle w:val="TableContents"/>
              <w:bidi w:val="0"/>
              <w:spacing w:before="0" w:after="0"/>
              <w:jc w:val="left"/>
              <w:rPr>
                <w:spacing w:val="4"/>
              </w:rPr>
            </w:pPr>
            <w:r>
              <w:rPr>
                <w:spacing w:val="4"/>
              </w:rPr>
              <w:t xml:space="preserve">2027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36" w:type="dxa"/>
            <w:tcBorders/>
            <w:shd w:fill="CCEEFF" w:val="clear"/>
            <w:vAlign w:val="center"/>
          </w:tcPr>
          <w:p>
            <w:pPr>
              <w:pStyle w:val="TableContents"/>
              <w:bidi w:val="0"/>
              <w:spacing w:before="0" w:after="283"/>
              <w:jc w:val="right"/>
              <w:rPr/>
            </w:pPr>
            <w:r>
              <w:rPr/>
              <w:t>210,082</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59" w:type="dxa"/>
            <w:tcBorders/>
            <w:vAlign w:val="center"/>
          </w:tcPr>
          <w:p>
            <w:pPr>
              <w:pStyle w:val="TableContents"/>
              <w:bidi w:val="0"/>
              <w:spacing w:before="0" w:after="0"/>
              <w:jc w:val="left"/>
              <w:rPr>
                <w:spacing w:val="4"/>
              </w:rPr>
            </w:pPr>
            <w:r>
              <w:rPr>
                <w:spacing w:val="4"/>
              </w:rPr>
              <w:t xml:space="preserve">2028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36" w:type="dxa"/>
            <w:tcBorders/>
            <w:vAlign w:val="center"/>
          </w:tcPr>
          <w:p>
            <w:pPr>
              <w:pStyle w:val="TableContents"/>
              <w:bidi w:val="0"/>
              <w:spacing w:before="0" w:after="283"/>
              <w:jc w:val="right"/>
              <w:rPr/>
            </w:pPr>
            <w:r>
              <w:rPr/>
              <w:t>180,716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59" w:type="dxa"/>
            <w:tcBorders/>
            <w:shd w:fill="CCEEFF" w:val="clear"/>
            <w:vAlign w:val="center"/>
          </w:tcPr>
          <w:p>
            <w:pPr>
              <w:pStyle w:val="TableContents"/>
              <w:bidi w:val="0"/>
              <w:spacing w:before="0" w:after="0"/>
              <w:jc w:val="left"/>
              <w:rPr>
                <w:spacing w:val="4"/>
              </w:rPr>
            </w:pPr>
            <w:r>
              <w:rPr>
                <w:spacing w:val="4"/>
              </w:rPr>
              <w:t xml:space="preserve">2029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36" w:type="dxa"/>
            <w:tcBorders/>
            <w:shd w:fill="CCEEFF" w:val="clear"/>
            <w:vAlign w:val="center"/>
          </w:tcPr>
          <w:p>
            <w:pPr>
              <w:pStyle w:val="TableContents"/>
              <w:bidi w:val="0"/>
              <w:spacing w:before="0" w:after="283"/>
              <w:jc w:val="right"/>
              <w:rPr/>
            </w:pPr>
            <w:r>
              <w:rPr/>
              <w:t>179,938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59" w:type="dxa"/>
            <w:tcBorders/>
            <w:vAlign w:val="center"/>
          </w:tcPr>
          <w:p>
            <w:pPr>
              <w:pStyle w:val="TableContents"/>
              <w:bidi w:val="0"/>
              <w:spacing w:before="0" w:after="0"/>
              <w:jc w:val="left"/>
              <w:rPr>
                <w:spacing w:val="4"/>
              </w:rPr>
            </w:pPr>
            <w:r>
              <w:rPr>
                <w:spacing w:val="4"/>
              </w:rPr>
              <w:t xml:space="preserve">2030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36" w:type="dxa"/>
            <w:tcBorders/>
            <w:vAlign w:val="center"/>
          </w:tcPr>
          <w:p>
            <w:pPr>
              <w:pStyle w:val="TableContents"/>
              <w:bidi w:val="0"/>
              <w:spacing w:before="0" w:after="283"/>
              <w:jc w:val="right"/>
              <w:rPr/>
            </w:pPr>
            <w:r>
              <w:rPr/>
              <w:t>183,537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859"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2031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shd w:fill="CCEEFF" w:val="clear"/>
            <w:tcMar>
              <w:bottom w:w="50" w:type="dxa"/>
            </w:tcMar>
            <w:vAlign w:val="center"/>
          </w:tcPr>
          <w:p>
            <w:pPr>
              <w:pStyle w:val="TableContents"/>
              <w:bidi w:val="0"/>
              <w:spacing w:before="0" w:after="283"/>
              <w:jc w:val="right"/>
              <w:rPr/>
            </w:pPr>
            <w:r>
              <w:rPr/>
              <w:t>31,201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59" w:type="dxa"/>
            <w:tcBorders/>
            <w:vAlign w:val="center"/>
          </w:tcPr>
          <w:p>
            <w:pPr>
              <w:pStyle w:val="TableContents"/>
              <w:bidi w:val="0"/>
              <w:spacing w:before="0" w:after="0"/>
              <w:jc w:val="left"/>
              <w:rPr>
                <w:spacing w:val="4"/>
              </w:rPr>
            </w:pPr>
            <w:r>
              <w:rPr>
                <w:spacing w:val="4"/>
              </w:rPr>
              <w:t xml:space="preserve">Total future minimum lease payments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36" w:type="dxa"/>
            <w:tcBorders/>
            <w:vAlign w:val="center"/>
          </w:tcPr>
          <w:p>
            <w:pPr>
              <w:pStyle w:val="TableContents"/>
              <w:bidi w:val="0"/>
              <w:spacing w:before="0" w:after="283"/>
              <w:jc w:val="right"/>
              <w:rPr/>
            </w:pPr>
            <w:r>
              <w:rPr/>
              <w:t>972,782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859"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Discount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shd w:fill="CCEEFF" w:val="clear"/>
            <w:tcMar>
              <w:bottom w:w="50" w:type="dxa"/>
            </w:tcMar>
            <w:vAlign w:val="center"/>
          </w:tcPr>
          <w:p>
            <w:pPr>
              <w:pStyle w:val="TableContents"/>
              <w:bidi w:val="0"/>
              <w:spacing w:before="0" w:after="283"/>
              <w:jc w:val="right"/>
              <w:rPr/>
            </w:pPr>
            <w:r>
              <w:rPr/>
              <w:t>(205,787)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59" w:type="dxa"/>
            <w:tcBorders/>
            <w:vAlign w:val="center"/>
          </w:tcPr>
          <w:p>
            <w:pPr>
              <w:pStyle w:val="TableContents"/>
              <w:bidi w:val="0"/>
              <w:spacing w:before="0" w:after="283"/>
              <w:jc w:val="left"/>
              <w:rPr/>
            </w:pPr>
            <w:r>
              <w:rPr>
                <w:spacing w:val="-4"/>
              </w:rPr>
              <w:t>Total</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36" w:type="dxa"/>
            <w:tcBorders>
              <w:bottom w:val="double" w:sz="8" w:space="0" w:color="000000"/>
            </w:tcBorders>
            <w:tcMar>
              <w:bottom w:w="50" w:type="dxa"/>
            </w:tcMar>
            <w:vAlign w:val="center"/>
          </w:tcPr>
          <w:p>
            <w:pPr>
              <w:pStyle w:val="TableContents"/>
              <w:bidi w:val="0"/>
              <w:spacing w:before="0" w:after="283"/>
              <w:jc w:val="right"/>
              <w:rPr/>
            </w:pPr>
            <w:r>
              <w:rPr/>
              <w:t>766,995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0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WARRANT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in connection with the PIPE financing (Note 12), the Company issued warrants to an accredited investor to purchase an aggregate of 2,500,000 shares of common stock of the Company at an exercise price of $12.00 per share, in addition to 29,700 shares of Series A Cumulative Convertible Preferred Stock. The fair value of warrants upon issuance was $4,174,276.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warrants are accounted for as derivative liabilities as they contain a put option that may be exercised in the event of a fundamental transaction of the Company, pursuant to ASC 480-10, Distinguishing Liabilities from Equity. As such, the warrants are recognized initially at fair value and subsequently remeasured at fair value through earnings.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continuity of the Company’s derivative warrant liabilities: </w:t>
      </w:r>
    </w:p>
    <w:tbl>
      <w:tblPr>
        <w:tblW w:w="6147" w:type="dxa"/>
        <w:jc w:val="left"/>
        <w:tblInd w:w="1393" w:type="dxa"/>
        <w:tblLayout w:type="fixed"/>
        <w:tblCellMar>
          <w:top w:w="0" w:type="dxa"/>
          <w:left w:w="0" w:type="dxa"/>
          <w:bottom w:w="0" w:type="dxa"/>
          <w:right w:w="0" w:type="dxa"/>
        </w:tblCellMar>
      </w:tblPr>
      <w:tblGrid>
        <w:gridCol w:w="124"/>
        <w:gridCol w:w="4141"/>
        <w:gridCol w:w="109"/>
        <w:gridCol w:w="109"/>
        <w:gridCol w:w="109"/>
        <w:gridCol w:w="226"/>
        <w:gridCol w:w="106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141" w:type="dxa"/>
            <w:tcBorders/>
            <w:shd w:fill="CCEEFF" w:val="clear"/>
            <w:vAlign w:val="center"/>
          </w:tcPr>
          <w:p>
            <w:pPr>
              <w:pStyle w:val="TableContents"/>
              <w:bidi w:val="0"/>
              <w:spacing w:before="0" w:after="0"/>
              <w:jc w:val="left"/>
              <w:rPr/>
            </w:pPr>
            <w:r>
              <w:rPr>
                <w:spacing w:val="-4"/>
              </w:rPr>
              <w:t>Balance as at November 30, 2025</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141" w:type="dxa"/>
            <w:tcBorders/>
            <w:vAlign w:val="center"/>
          </w:tcPr>
          <w:p>
            <w:pPr>
              <w:pStyle w:val="TableContents"/>
              <w:bidi w:val="0"/>
              <w:spacing w:before="0" w:after="0"/>
              <w:jc w:val="left"/>
              <w:rPr>
                <w:spacing w:val="4"/>
              </w:rPr>
            </w:pPr>
            <w:r>
              <w:rPr>
                <w:spacing w:val="4"/>
              </w:rPr>
              <w:t xml:space="preserve">Issuance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4,174,276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14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Change in fair value of warrant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141" w:type="dxa"/>
            <w:tcBorders/>
            <w:vAlign w:val="center"/>
          </w:tcPr>
          <w:p>
            <w:pPr>
              <w:pStyle w:val="TableContents"/>
              <w:bidi w:val="0"/>
              <w:spacing w:before="0" w:after="0"/>
              <w:jc w:val="left"/>
              <w:rPr/>
            </w:pPr>
            <w:r>
              <w:rPr>
                <w:spacing w:val="-4"/>
              </w:rPr>
              <w:t>Balance as at February 28, 2026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4,174,276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3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warrant liability arising from 2,500,000 warrants issued with the PIPE financing was calculated using the Monte Carlo model. The key inputs used in the Monte Carlo model were as follows: </w:t>
      </w:r>
    </w:p>
    <w:tbl>
      <w:tblPr>
        <w:tblW w:w="6063" w:type="dxa"/>
        <w:jc w:val="left"/>
        <w:tblInd w:w="1393" w:type="dxa"/>
        <w:tblLayout w:type="fixed"/>
        <w:tblCellMar>
          <w:top w:w="0" w:type="dxa"/>
          <w:left w:w="0" w:type="dxa"/>
          <w:bottom w:w="0" w:type="dxa"/>
          <w:right w:w="0" w:type="dxa"/>
        </w:tblCellMar>
      </w:tblPr>
      <w:tblGrid>
        <w:gridCol w:w="124"/>
        <w:gridCol w:w="3446"/>
        <w:gridCol w:w="109"/>
        <w:gridCol w:w="109"/>
        <w:gridCol w:w="238"/>
        <w:gridCol w:w="494"/>
        <w:gridCol w:w="1150"/>
        <w:gridCol w:w="239"/>
        <w:gridCol w:w="154"/>
      </w:tblGrid>
      <w:tr>
        <w:trPr/>
        <w:tc>
          <w:tcPr>
            <w:tcW w:w="124" w:type="dxa"/>
            <w:tcBorders/>
            <w:shd w:fill="CCEEFF" w:val="clear"/>
            <w:vAlign w:val="center"/>
          </w:tcPr>
          <w:p>
            <w:pPr>
              <w:pStyle w:val="TableContents"/>
              <w:bidi w:val="0"/>
              <w:spacing w:before="0" w:after="283"/>
              <w:jc w:val="left"/>
              <w:rPr/>
            </w:pPr>
            <w:r>
              <w:rPr/>
              <w:t>​</w:t>
            </w:r>
          </w:p>
        </w:tc>
        <w:tc>
          <w:tcPr>
            <w:tcW w:w="3446" w:type="dxa"/>
            <w:tcBorders/>
            <w:shd w:fill="CCEEFF" w:val="clear"/>
            <w:vAlign w:val="center"/>
          </w:tcPr>
          <w:p>
            <w:pPr>
              <w:pStyle w:val="TableContents"/>
              <w:bidi w:val="0"/>
              <w:spacing w:before="0" w:after="0"/>
              <w:jc w:val="left"/>
              <w:rPr>
                <w:spacing w:val="4"/>
              </w:rPr>
            </w:pPr>
            <w:r>
              <w:rPr>
                <w:spacing w:val="4"/>
              </w:rPr>
              <w:t xml:space="preserve">Share price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38" w:type="dxa"/>
            <w:tcBorders/>
            <w:shd w:fill="CCEEFF" w:val="clear"/>
            <w:vAlign w:val="center"/>
          </w:tcPr>
          <w:p>
            <w:pPr>
              <w:pStyle w:val="TableContents"/>
              <w:bidi w:val="0"/>
              <w:spacing w:before="0" w:after="283"/>
              <w:jc w:val="left"/>
              <w:rPr/>
            </w:pPr>
            <w:r>
              <w:rPr/>
              <w:t>​</w:t>
            </w:r>
          </w:p>
        </w:tc>
        <w:tc>
          <w:tcPr>
            <w:tcW w:w="494" w:type="dxa"/>
            <w:tcBorders/>
            <w:shd w:fill="CCEEFF" w:val="clear"/>
            <w:vAlign w:val="center"/>
          </w:tcPr>
          <w:p>
            <w:pPr>
              <w:pStyle w:val="TableContents"/>
              <w:bidi w:val="0"/>
              <w:spacing w:before="0" w:after="283"/>
              <w:jc w:val="right"/>
              <w:rPr/>
            </w:pPr>
            <w:r>
              <w:rPr/>
              <w:t>$</w:t>
            </w:r>
          </w:p>
        </w:tc>
        <w:tc>
          <w:tcPr>
            <w:tcW w:w="1150" w:type="dxa"/>
            <w:tcBorders/>
            <w:shd w:fill="CCEEFF" w:val="clear"/>
            <w:vAlign w:val="center"/>
          </w:tcPr>
          <w:p>
            <w:pPr>
              <w:pStyle w:val="TableContents"/>
              <w:bidi w:val="0"/>
              <w:spacing w:before="0" w:after="283"/>
              <w:jc w:val="right"/>
              <w:rPr/>
            </w:pPr>
            <w:r>
              <w:rPr/>
              <w:t>6.99</w:t>
            </w:r>
          </w:p>
        </w:tc>
        <w:tc>
          <w:tcPr>
            <w:tcW w:w="23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6" w:type="dxa"/>
            <w:tcBorders/>
            <w:vAlign w:val="center"/>
          </w:tcPr>
          <w:p>
            <w:pPr>
              <w:pStyle w:val="TableContents"/>
              <w:bidi w:val="0"/>
              <w:spacing w:before="0" w:after="0"/>
              <w:jc w:val="left"/>
              <w:rPr>
                <w:spacing w:val="4"/>
              </w:rPr>
            </w:pPr>
            <w:r>
              <w:rPr>
                <w:spacing w:val="4"/>
              </w:rPr>
              <w:t xml:space="preserve">Exercise price reset 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21" w:type="dxa"/>
            <w:gridSpan w:val="4"/>
            <w:tcBorders/>
            <w:vAlign w:val="center"/>
          </w:tcPr>
          <w:p>
            <w:pPr>
              <w:pStyle w:val="TableContents"/>
              <w:bidi w:val="0"/>
              <w:spacing w:before="0" w:after="0"/>
              <w:jc w:val="center"/>
              <w:rPr>
                <w:spacing w:val="4"/>
              </w:rPr>
            </w:pPr>
            <w:r>
              <w:rPr>
                <w:spacing w:val="4"/>
              </w:rPr>
              <w:t xml:space="preserve">September 22, 2026 </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446" w:type="dxa"/>
            <w:tcBorders/>
            <w:shd w:fill="CCEEFF" w:val="clear"/>
            <w:vAlign w:val="center"/>
          </w:tcPr>
          <w:p>
            <w:pPr>
              <w:pStyle w:val="TableContents"/>
              <w:bidi w:val="0"/>
              <w:spacing w:before="0" w:after="0"/>
              <w:jc w:val="left"/>
              <w:rPr>
                <w:spacing w:val="4"/>
              </w:rPr>
            </w:pPr>
            <w:r>
              <w:rPr>
                <w:spacing w:val="4"/>
              </w:rPr>
              <w:t xml:space="preserve">Floor price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38" w:type="dxa"/>
            <w:tcBorders/>
            <w:shd w:fill="CCEEFF" w:val="clear"/>
            <w:vAlign w:val="center"/>
          </w:tcPr>
          <w:p>
            <w:pPr>
              <w:pStyle w:val="TableContents"/>
              <w:bidi w:val="0"/>
              <w:spacing w:before="0" w:after="283"/>
              <w:jc w:val="left"/>
              <w:rPr/>
            </w:pPr>
            <w:r>
              <w:rPr/>
              <w:t>​</w:t>
            </w:r>
          </w:p>
        </w:tc>
        <w:tc>
          <w:tcPr>
            <w:tcW w:w="494" w:type="dxa"/>
            <w:tcBorders/>
            <w:shd w:fill="CCEEFF" w:val="clear"/>
            <w:vAlign w:val="center"/>
          </w:tcPr>
          <w:p>
            <w:pPr>
              <w:pStyle w:val="TableContents"/>
              <w:bidi w:val="0"/>
              <w:spacing w:before="0" w:after="283"/>
              <w:jc w:val="right"/>
              <w:rPr/>
            </w:pPr>
            <w:r>
              <w:rPr/>
              <w:t>$</w:t>
            </w:r>
          </w:p>
        </w:tc>
        <w:tc>
          <w:tcPr>
            <w:tcW w:w="1150" w:type="dxa"/>
            <w:tcBorders/>
            <w:shd w:fill="CCEEFF" w:val="clear"/>
            <w:vAlign w:val="center"/>
          </w:tcPr>
          <w:p>
            <w:pPr>
              <w:pStyle w:val="TableContents"/>
              <w:bidi w:val="0"/>
              <w:spacing w:before="0" w:after="283"/>
              <w:jc w:val="right"/>
              <w:rPr/>
            </w:pPr>
            <w:r>
              <w:rPr/>
              <w:t>7.50</w:t>
            </w:r>
          </w:p>
        </w:tc>
        <w:tc>
          <w:tcPr>
            <w:tcW w:w="23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6" w:type="dxa"/>
            <w:tcBorders/>
            <w:vAlign w:val="center"/>
          </w:tcPr>
          <w:p>
            <w:pPr>
              <w:pStyle w:val="TableContents"/>
              <w:bidi w:val="0"/>
              <w:spacing w:before="0" w:after="0"/>
              <w:jc w:val="left"/>
              <w:rPr>
                <w:spacing w:val="4"/>
              </w:rPr>
            </w:pPr>
            <w:r>
              <w:rPr>
                <w:spacing w:val="4"/>
              </w:rPr>
              <w:t xml:space="preserve">Discount for lack of marketability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 w:type="dxa"/>
            <w:tcBorders/>
            <w:vAlign w:val="center"/>
          </w:tcPr>
          <w:p>
            <w:pPr>
              <w:pStyle w:val="TableContents"/>
              <w:bidi w:val="0"/>
              <w:spacing w:before="0" w:after="283"/>
              <w:jc w:val="left"/>
              <w:rPr/>
            </w:pPr>
            <w:r>
              <w:rPr/>
              <w:t>​</w:t>
            </w:r>
          </w:p>
        </w:tc>
        <w:tc>
          <w:tcPr>
            <w:tcW w:w="494" w:type="dxa"/>
            <w:tcBorders/>
            <w:vAlign w:val="center"/>
          </w:tcPr>
          <w:p>
            <w:pPr>
              <w:pStyle w:val="TableContents"/>
              <w:bidi w:val="0"/>
              <w:spacing w:before="0" w:after="283"/>
              <w:jc w:val="right"/>
              <w:rPr/>
            </w:pPr>
            <w:r>
              <w:rPr/>
              <w:t>​</w:t>
            </w:r>
          </w:p>
        </w:tc>
        <w:tc>
          <w:tcPr>
            <w:tcW w:w="1150" w:type="dxa"/>
            <w:tcBorders/>
            <w:vAlign w:val="center"/>
          </w:tcPr>
          <w:p>
            <w:pPr>
              <w:pStyle w:val="TableContents"/>
              <w:bidi w:val="0"/>
              <w:spacing w:before="0" w:after="283"/>
              <w:jc w:val="right"/>
              <w:rPr/>
            </w:pPr>
            <w:r>
              <w:rPr/>
              <w:t>64.1%</w:t>
            </w:r>
          </w:p>
        </w:tc>
        <w:tc>
          <w:tcPr>
            <w:tcW w:w="23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446" w:type="dxa"/>
            <w:tcBorders/>
            <w:shd w:fill="CCEEFF" w:val="clear"/>
            <w:vAlign w:val="center"/>
          </w:tcPr>
          <w:p>
            <w:pPr>
              <w:pStyle w:val="TableContents"/>
              <w:bidi w:val="0"/>
              <w:spacing w:before="0" w:after="0"/>
              <w:jc w:val="left"/>
              <w:rPr>
                <w:spacing w:val="4"/>
              </w:rPr>
            </w:pPr>
            <w:r>
              <w:rPr>
                <w:spacing w:val="4"/>
              </w:rPr>
              <w:t xml:space="preserve">Expected share price volatility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38" w:type="dxa"/>
            <w:tcBorders/>
            <w:shd w:fill="CCEEFF" w:val="clear"/>
            <w:vAlign w:val="center"/>
          </w:tcPr>
          <w:p>
            <w:pPr>
              <w:pStyle w:val="TableContents"/>
              <w:bidi w:val="0"/>
              <w:spacing w:before="0" w:after="283"/>
              <w:jc w:val="left"/>
              <w:rPr/>
            </w:pPr>
            <w:r>
              <w:rPr/>
              <w:t>​</w:t>
            </w:r>
          </w:p>
        </w:tc>
        <w:tc>
          <w:tcPr>
            <w:tcW w:w="494" w:type="dxa"/>
            <w:tcBorders/>
            <w:shd w:fill="CCEEFF" w:val="clear"/>
            <w:vAlign w:val="center"/>
          </w:tcPr>
          <w:p>
            <w:pPr>
              <w:pStyle w:val="TableContents"/>
              <w:bidi w:val="0"/>
              <w:spacing w:before="0" w:after="283"/>
              <w:jc w:val="right"/>
              <w:rPr/>
            </w:pPr>
            <w:r>
              <w:rPr/>
              <w:t>​</w:t>
            </w:r>
          </w:p>
        </w:tc>
        <w:tc>
          <w:tcPr>
            <w:tcW w:w="1150" w:type="dxa"/>
            <w:tcBorders/>
            <w:shd w:fill="CCEEFF" w:val="clear"/>
            <w:vAlign w:val="center"/>
          </w:tcPr>
          <w:p>
            <w:pPr>
              <w:pStyle w:val="TableContents"/>
              <w:bidi w:val="0"/>
              <w:spacing w:before="0" w:after="283"/>
              <w:jc w:val="right"/>
              <w:rPr/>
            </w:pPr>
            <w:r>
              <w:rPr/>
              <w:t>100%</w:t>
            </w:r>
          </w:p>
        </w:tc>
        <w:tc>
          <w:tcPr>
            <w:tcW w:w="23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46" w:type="dxa"/>
            <w:tcBorders/>
            <w:vAlign w:val="center"/>
          </w:tcPr>
          <w:p>
            <w:pPr>
              <w:pStyle w:val="TableContents"/>
              <w:bidi w:val="0"/>
              <w:spacing w:before="0" w:after="0"/>
              <w:jc w:val="left"/>
              <w:rPr>
                <w:spacing w:val="4"/>
              </w:rPr>
            </w:pPr>
            <w:r>
              <w:rPr>
                <w:spacing w:val="4"/>
              </w:rPr>
              <w:t xml:space="preserve">Risk free interest rate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 w:type="dxa"/>
            <w:tcBorders/>
            <w:vAlign w:val="center"/>
          </w:tcPr>
          <w:p>
            <w:pPr>
              <w:pStyle w:val="TableContents"/>
              <w:bidi w:val="0"/>
              <w:spacing w:before="0" w:after="283"/>
              <w:jc w:val="left"/>
              <w:rPr/>
            </w:pPr>
            <w:r>
              <w:rPr/>
              <w:t>​</w:t>
            </w:r>
          </w:p>
        </w:tc>
        <w:tc>
          <w:tcPr>
            <w:tcW w:w="494" w:type="dxa"/>
            <w:tcBorders/>
            <w:vAlign w:val="center"/>
          </w:tcPr>
          <w:p>
            <w:pPr>
              <w:pStyle w:val="TableContents"/>
              <w:bidi w:val="0"/>
              <w:spacing w:before="0" w:after="283"/>
              <w:jc w:val="right"/>
              <w:rPr/>
            </w:pPr>
            <w:r>
              <w:rPr/>
              <w:t>​</w:t>
            </w:r>
          </w:p>
        </w:tc>
        <w:tc>
          <w:tcPr>
            <w:tcW w:w="1150" w:type="dxa"/>
            <w:tcBorders/>
            <w:vAlign w:val="center"/>
          </w:tcPr>
          <w:p>
            <w:pPr>
              <w:pStyle w:val="TableContents"/>
              <w:bidi w:val="0"/>
              <w:spacing w:before="0" w:after="283"/>
              <w:jc w:val="right"/>
              <w:rPr/>
            </w:pPr>
            <w:r>
              <w:rPr/>
              <w:t>3.55%</w:t>
            </w:r>
          </w:p>
        </w:tc>
        <w:tc>
          <w:tcPr>
            <w:tcW w:w="23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446" w:type="dxa"/>
            <w:tcBorders/>
            <w:shd w:fill="CCEEFF" w:val="clear"/>
            <w:vAlign w:val="center"/>
          </w:tcPr>
          <w:p>
            <w:pPr>
              <w:pStyle w:val="TableContents"/>
              <w:bidi w:val="0"/>
              <w:spacing w:before="0" w:after="0"/>
              <w:jc w:val="left"/>
              <w:rPr>
                <w:spacing w:val="4"/>
              </w:rPr>
            </w:pPr>
            <w:r>
              <w:rPr>
                <w:spacing w:val="4"/>
              </w:rPr>
              <w:t xml:space="preserve">Expected life of warrant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121" w:type="dxa"/>
            <w:gridSpan w:val="4"/>
            <w:tcBorders/>
            <w:shd w:fill="CCEEFF" w:val="clear"/>
            <w:vAlign w:val="center"/>
          </w:tcPr>
          <w:p>
            <w:pPr>
              <w:pStyle w:val="TableContents"/>
              <w:bidi w:val="0"/>
              <w:spacing w:before="0" w:after="0"/>
              <w:jc w:val="center"/>
              <w:rPr/>
            </w:pPr>
            <w:r>
              <w:rPr>
                <w:spacing w:val="4"/>
              </w:rPr>
              <w:t>5 years</w:t>
            </w:r>
            <w:r>
              <w:rPr/>
              <w:t xml:space="preserve"> </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0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STOCKHOLDERS’ EQUITY AND MEZZANINE EQUITY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300,000,000 shares of common stock authorized with a par value of $0.0001 per share. Prior to the de-SPAC transaction (Note 4) on February 24, 2026, the Company, being Eagle Energy at the time, had 350,000,000 shares of common stock authorized with a par value of $0.0001 per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28, 2026 and November 30, 2025, the Company had 29,579,313 and 18,888,289 shares (excluding 2,750,000 shares subject to possible redemption) issued and outstanding,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8"/>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Activities during the three months period ended February 28, 2026: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the Company completed its de-SPAC transaction (Note 4), with each share of former nonredeemable Eagle Energy common stock converted to common stock of the Company on a 5.8349:1 basis, representing 18,888,289 shares of common stock. All disclosures in these unaudited condensed consolidated interim financial statements on number of shares have been accordingly converted on the same basis. The former shareholders of SVII received an aggregate of 5,930,033 shares of common stock in the Company as consideration for the de-SPAC transaction. The Company also issued 300,000 shares of common stock in respect of transaction costs. The Company recorded a net contribution from reverse recapitalization of $1,991,184 as a result of the de-SPAC transaction.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upon the completion of the de-SPAC transaction (Note 4), 2,750,000 shares of common stock previously subject to redemption were no longer redeemable and reclassified to permanent equity. The Company reclassified $300,000 from redeemable common stock in mezzanine equity to permanent equity.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the Company also issued 1,710,991 shares of common stock with a fair value of $11,959,827 as consideration for the acquisition of Oregon Energy (Note 5).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Activities during the three months ended February 28, 2025: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December 2024, the Company completed a private placement offering of 312,007 common shares of the Company, with a par value of $0.0001 per share, at a price of $3.56 per share for total proceeds of $1,110,529. Additionally, 51,414 bonus shares valued at $183,000, of which $167,750 was recognized as obligation to issue shares as of November 30, 2024, and $15,250 was recognized as professional fees in the unaudited condensed consolidated interim statement of operations for the three months ended February 28, 2025, were issued to a consultant for professional services rendered from January 2024 to December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3,500,000 shares of preferred stock authorized with a par value of $0.0001 per share. Prior to the de-SPAC transaction (Note 4) on February 24, 2026, the Company, being Eagle Energy at the time, had 50,000,000 shares of common stock authorized with a par value of $0.0001 per share.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28, 2026 and November 30, 2025, the Company had no preferred stock issued and outstanding, excluding 29,700 shares subject to possible redemption as of February 28,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Mezzanine equity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Redeemable common stock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July 2025, the Company issued 2,750,000 common shares, with a par value of $0.0001 per share, to an investor pursuant to a Common Stock Purchase Agreement for total proceeds of $300,000. The shares are subject to automatic redemption if the de-SPAC transaction as contemplated by the BCA (Note 4) does not close. In accordance with the ASC 480-10-S99-3A, </w:t>
      </w:r>
      <w:r>
        <w:rPr>
          <w:rFonts w:ascii="Times New Roman;Times;serif" w:hAnsi="Times New Roman;Times;serif"/>
          <w:b w:val="false"/>
          <w:i/>
          <w:caps w:val="false"/>
          <w:smallCaps w:val="false"/>
          <w:color w:val="000000"/>
          <w:spacing w:val="4"/>
          <w:sz w:val="20"/>
        </w:rPr>
        <w:t>Classification and Measurement of Redeemable Securities</w:t>
      </w:r>
      <w:r>
        <w:rPr>
          <w:rFonts w:ascii="Times New Roman;Times;serif" w:hAnsi="Times New Roman;Times;serif"/>
          <w:b w:val="false"/>
          <w:i w:val="false"/>
          <w:caps w:val="false"/>
          <w:smallCaps w:val="false"/>
          <w:color w:val="000000"/>
          <w:spacing w:val="4"/>
          <w:sz w:val="20"/>
        </w:rPr>
        <w:t xml:space="preserve">, redemption provisions not solely within the control of the Company require the security to be classified outside of permanent equity. Immediately upon the closing of the private placement, the Company recognized a charge against additional paid-in capital of $170 for share issuance costs incurred in this private placement. On February 24, 2026, upon the completion of the de-SPAC transaction (Note 4), these common shares are no longer redeemable. The face value of $300,000 is reclassified to permanent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28, 2026, the amount of redeemable common stock reflected on the unaudited condensed consolidated interim balance sheets is reconciled in the following table: </w:t>
      </w:r>
    </w:p>
    <w:tbl>
      <w:tblPr>
        <w:tblW w:w="6901" w:type="dxa"/>
        <w:jc w:val="left"/>
        <w:tblInd w:w="1393" w:type="dxa"/>
        <w:tblLayout w:type="fixed"/>
        <w:tblCellMar>
          <w:top w:w="0" w:type="dxa"/>
          <w:left w:w="0" w:type="dxa"/>
          <w:bottom w:w="0" w:type="dxa"/>
          <w:right w:w="0" w:type="dxa"/>
        </w:tblCellMar>
      </w:tblPr>
      <w:tblGrid>
        <w:gridCol w:w="124"/>
        <w:gridCol w:w="4925"/>
        <w:gridCol w:w="109"/>
        <w:gridCol w:w="109"/>
        <w:gridCol w:w="109"/>
        <w:gridCol w:w="226"/>
        <w:gridCol w:w="103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925" w:type="dxa"/>
            <w:tcBorders/>
            <w:shd w:fill="CCEEFF" w:val="clear"/>
            <w:vAlign w:val="center"/>
          </w:tcPr>
          <w:p>
            <w:pPr>
              <w:pStyle w:val="TableContents"/>
              <w:bidi w:val="0"/>
              <w:spacing w:before="0" w:after="0"/>
              <w:jc w:val="left"/>
              <w:rPr>
                <w:spacing w:val="4"/>
              </w:rPr>
            </w:pPr>
            <w:r>
              <w:rPr>
                <w:spacing w:val="4"/>
              </w:rPr>
              <w:t xml:space="preserve">Redeemable common stock, November 30, 2024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3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0"/>
              <w:jc w:val="left"/>
              <w:rPr>
                <w:spacing w:val="4"/>
              </w:rPr>
            </w:pPr>
            <w:r>
              <w:rPr>
                <w:spacing w:val="4"/>
              </w:rPr>
              <w:t xml:space="preserve">Gross proceeds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36" w:type="dxa"/>
            <w:tcBorders/>
            <w:vAlign w:val="center"/>
          </w:tcPr>
          <w:p>
            <w:pPr>
              <w:pStyle w:val="TableContents"/>
              <w:bidi w:val="0"/>
              <w:spacing w:before="0" w:after="283"/>
              <w:jc w:val="right"/>
              <w:rPr/>
            </w:pPr>
            <w:r>
              <w:rPr/>
              <w:t>300,000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25" w:type="dxa"/>
            <w:tcBorders/>
            <w:shd w:fill="CCEEFF" w:val="clear"/>
            <w:vAlign w:val="center"/>
          </w:tcPr>
          <w:p>
            <w:pPr>
              <w:pStyle w:val="TableContents"/>
              <w:bidi w:val="0"/>
              <w:spacing w:before="0" w:after="0"/>
              <w:jc w:val="left"/>
              <w:rPr>
                <w:spacing w:val="4"/>
              </w:rPr>
            </w:pPr>
            <w:r>
              <w:rPr>
                <w:spacing w:val="4"/>
              </w:rPr>
              <w:t xml:space="preserve">Less: share issuance costs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36" w:type="dxa"/>
            <w:tcBorders/>
            <w:shd w:fill="CCEEFF" w:val="clear"/>
            <w:vAlign w:val="center"/>
          </w:tcPr>
          <w:p>
            <w:pPr>
              <w:pStyle w:val="TableContents"/>
              <w:bidi w:val="0"/>
              <w:spacing w:before="0" w:after="283"/>
              <w:jc w:val="right"/>
              <w:rPr/>
            </w:pPr>
            <w:r>
              <w:rPr/>
              <w:t>(170)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92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Plus: adjust carrying value to redemption 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tcMar>
              <w:bottom w:w="50" w:type="dxa"/>
            </w:tcMar>
            <w:vAlign w:val="center"/>
          </w:tcPr>
          <w:p>
            <w:pPr>
              <w:pStyle w:val="TableContents"/>
              <w:bidi w:val="0"/>
              <w:spacing w:before="0" w:after="283"/>
              <w:jc w:val="right"/>
              <w:rPr/>
            </w:pPr>
            <w:r>
              <w:rPr/>
              <w:t>170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25" w:type="dxa"/>
            <w:tcBorders/>
            <w:shd w:fill="CCEEFF" w:val="clear"/>
            <w:vAlign w:val="center"/>
          </w:tcPr>
          <w:p>
            <w:pPr>
              <w:pStyle w:val="TableContents"/>
              <w:bidi w:val="0"/>
              <w:spacing w:before="0" w:after="0"/>
              <w:jc w:val="left"/>
              <w:rPr>
                <w:spacing w:val="4"/>
              </w:rPr>
            </w:pPr>
            <w:r>
              <w:rPr>
                <w:spacing w:val="4"/>
              </w:rPr>
              <w:t xml:space="preserve">Redeemable common stock, November 30, 2025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36" w:type="dxa"/>
            <w:tcBorders/>
            <w:shd w:fill="CCEEFF" w:val="clear"/>
            <w:vAlign w:val="center"/>
          </w:tcPr>
          <w:p>
            <w:pPr>
              <w:pStyle w:val="TableContents"/>
              <w:bidi w:val="0"/>
              <w:spacing w:before="0" w:after="283"/>
              <w:jc w:val="right"/>
              <w:rPr/>
            </w:pPr>
            <w:r>
              <w:rPr/>
              <w:t>300,000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92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Less: transfer to permanent equity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tcMar>
              <w:bottom w:w="50" w:type="dxa"/>
            </w:tcMar>
            <w:vAlign w:val="center"/>
          </w:tcPr>
          <w:p>
            <w:pPr>
              <w:pStyle w:val="TableContents"/>
              <w:bidi w:val="0"/>
              <w:spacing w:before="0" w:after="283"/>
              <w:jc w:val="right"/>
              <w:rPr/>
            </w:pPr>
            <w:r>
              <w:rPr/>
              <w:t>(300,000)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25" w:type="dxa"/>
            <w:tcBorders/>
            <w:shd w:fill="CCEEFF" w:val="clear"/>
            <w:vAlign w:val="center"/>
          </w:tcPr>
          <w:p>
            <w:pPr>
              <w:pStyle w:val="TableContents"/>
              <w:bidi w:val="0"/>
              <w:spacing w:before="0" w:after="0"/>
              <w:jc w:val="left"/>
              <w:rPr/>
            </w:pPr>
            <w:r>
              <w:rPr>
                <w:spacing w:val="-4"/>
              </w:rPr>
              <w:t>Redeemable common stock, February 28, 2026</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336"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Series A Cumulative Convertible Preferred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in connection with the de-SPAC transaction (Note 4), the Company, Eagle Energy, and SVII entered into an Amended and Restated Securities Purchase Agreement (the “PIPE Agreement”) with an accredited investor, pursuant to which the investor agreed to purchase 29,700 shares of Series A Cumulative Convertible Preferred Stock of the Company for an aggregate price of $29,700,000. The Series A Cumulative Convertible Preferred Stock have an initial stated value of $1,000 per share, and are redeemable at the option of the holder beginning February 24, 2031. The Series A Cumulative Convertible Preferred Stock accrues dividends at 12% annually (if paid in kind), or 10% annually (if paid in cash). Dividends are due semi-annually, on June 1 and December 1. The preferred stock carries rights, preferences, and privileges as set forth in its certificate of designation, including the right to convert into common stock of the Company at any time at the holder’s option, at an initial conversion price of $11.88 per share (subject to adjustment). In addition, the investor received warrants to purchase an aggregate of 2,500,000 shares of common stock of the Company at an exercise price of $12.00 per share, which had a grant-date fair value of $4,174,276. The proceeds of the PIPE financing were first allocated to the liability-classified warrants (Note 11), with residual amounts being allocated to the Series A Cumulative Convertible Preferred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A Cumulative Convertible Preferred Stock is also redeemable at the option of the Company: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first anniversary of issuance, at a redemption price per share equal to 150% of the initial stated value, plus paid in kind dividends, plus accrued but unpaid cash dividends (the “Accrued Value”); </w:t>
      </w:r>
      <w:r>
        <mc:AlternateContent>
          <mc:Choice Requires="wps">
            <w:drawing>
              <wp:anchor behindDoc="0" distT="7366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1"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first anniversary of issuance but prior to the second anniversary of the issuance, at a redemption price per share equal to 140% of the Accrued Value; </w:t>
      </w:r>
      <w:r>
        <mc:AlternateContent>
          <mc:Choice Requires="wps">
            <w:drawing>
              <wp:anchor behindDoc="0" distT="6731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2"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second anniversary of issuance but prior to the third anniversary of the issuance, at a redemption price per share equal to 130% of the Accrued Value; </w:t>
      </w:r>
      <w:r>
        <mc:AlternateContent>
          <mc:Choice Requires="wps">
            <w:drawing>
              <wp:anchor behindDoc="0" distT="6731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3"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third anniversary of issuance but prior to the fourth anniversary of the issuance, at a redemption price per share equal to 120% of the Accrued Value; </w:t>
      </w:r>
      <w:r>
        <mc:AlternateContent>
          <mc:Choice Requires="wps">
            <w:drawing>
              <wp:anchor behindDoc="0" distT="6731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4"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fourth anniversary of issuance but prior to the fifth anniversary of the issuance, at a redemption price per share equal to 110% of the Accrued Value; and, </w:t>
      </w:r>
      <w:r>
        <mc:AlternateContent>
          <mc:Choice Requires="wps">
            <w:drawing>
              <wp:anchor behindDoc="0" distT="6604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5"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fifth anniversary of issuance, at a redemption price per share equal to 100% of the Accrued Value. </w:t>
      </w:r>
      <w:r>
        <mc:AlternateContent>
          <mc:Choice Requires="wps">
            <w:drawing>
              <wp:anchor behindDoc="0" distT="6604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6"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28, 2026, the amount of redeemable Series A Cumulative Convertible Preferred Stock reflected on the unaudited condensed consolidated interim balance sheets is reconciled in the following table: </w:t>
      </w:r>
    </w:p>
    <w:tbl>
      <w:tblPr>
        <w:tblW w:w="8812" w:type="dxa"/>
        <w:jc w:val="left"/>
        <w:tblInd w:w="1393" w:type="dxa"/>
        <w:tblLayout w:type="fixed"/>
        <w:tblCellMar>
          <w:top w:w="0" w:type="dxa"/>
          <w:left w:w="0" w:type="dxa"/>
          <w:bottom w:w="0" w:type="dxa"/>
          <w:right w:w="0" w:type="dxa"/>
        </w:tblCellMar>
      </w:tblPr>
      <w:tblGrid>
        <w:gridCol w:w="124"/>
        <w:gridCol w:w="6661"/>
        <w:gridCol w:w="109"/>
        <w:gridCol w:w="109"/>
        <w:gridCol w:w="109"/>
        <w:gridCol w:w="226"/>
        <w:gridCol w:w="1210"/>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6661" w:type="dxa"/>
            <w:tcBorders/>
            <w:shd w:fill="CCEEFF" w:val="clear"/>
            <w:vAlign w:val="center"/>
          </w:tcPr>
          <w:p>
            <w:pPr>
              <w:pStyle w:val="TableContents"/>
              <w:bidi w:val="0"/>
              <w:spacing w:before="0" w:after="0"/>
              <w:ind w:left="200" w:right="0" w:hanging="200"/>
              <w:jc w:val="left"/>
              <w:rPr/>
            </w:pPr>
            <w:r>
              <w:rPr>
                <w:spacing w:val="4"/>
              </w:rPr>
              <w:t xml:space="preserve">Redeemable Series A Cumulative Convertible Preferred Stock, November 30, </w:t>
            </w:r>
            <w:r>
              <w:rPr/>
              <w:br/>
            </w:r>
            <w:r>
              <w:rPr>
                <w:spacing w:val="4"/>
              </w:rPr>
              <w:t xml:space="preserve">2025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210"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61" w:type="dxa"/>
            <w:tcBorders/>
            <w:vAlign w:val="center"/>
          </w:tcPr>
          <w:p>
            <w:pPr>
              <w:pStyle w:val="TableContents"/>
              <w:bidi w:val="0"/>
              <w:spacing w:before="0" w:after="0"/>
              <w:jc w:val="left"/>
              <w:rPr>
                <w:spacing w:val="4"/>
              </w:rPr>
            </w:pPr>
            <w:r>
              <w:rPr>
                <w:spacing w:val="4"/>
              </w:rPr>
              <w:t xml:space="preserve">Gross proceeds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210" w:type="dxa"/>
            <w:tcBorders/>
            <w:vAlign w:val="center"/>
          </w:tcPr>
          <w:p>
            <w:pPr>
              <w:pStyle w:val="TableContents"/>
              <w:bidi w:val="0"/>
              <w:spacing w:before="0" w:after="283"/>
              <w:jc w:val="right"/>
              <w:rPr/>
            </w:pPr>
            <w:r>
              <w:rPr/>
              <w:t>29,700,000</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61" w:type="dxa"/>
            <w:tcBorders/>
            <w:shd w:fill="CCEEFF" w:val="clear"/>
            <w:vAlign w:val="center"/>
          </w:tcPr>
          <w:p>
            <w:pPr>
              <w:pStyle w:val="TableContents"/>
              <w:bidi w:val="0"/>
              <w:spacing w:before="0" w:after="0"/>
              <w:jc w:val="left"/>
              <w:rPr>
                <w:spacing w:val="4"/>
              </w:rPr>
            </w:pPr>
            <w:r>
              <w:rPr>
                <w:spacing w:val="4"/>
              </w:rPr>
              <w:t xml:space="preserve">Allocation to warrant liability (Note 11)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210" w:type="dxa"/>
            <w:tcBorders/>
            <w:shd w:fill="CCEEFF" w:val="clear"/>
            <w:vAlign w:val="center"/>
          </w:tcPr>
          <w:p>
            <w:pPr>
              <w:pStyle w:val="TableContents"/>
              <w:bidi w:val="0"/>
              <w:spacing w:before="0" w:after="283"/>
              <w:jc w:val="right"/>
              <w:rPr/>
            </w:pPr>
            <w:r>
              <w:rPr/>
              <w:t>(4,174,276)</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66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Accretion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210" w:type="dxa"/>
            <w:tcBorders>
              <w:bottom w:val="single" w:sz="2" w:space="0" w:color="000000"/>
            </w:tcBorders>
            <w:tcMar>
              <w:bottom w:w="50" w:type="dxa"/>
            </w:tcMar>
            <w:vAlign w:val="center"/>
          </w:tcPr>
          <w:p>
            <w:pPr>
              <w:pStyle w:val="TableContents"/>
              <w:bidi w:val="0"/>
              <w:spacing w:before="0" w:after="283"/>
              <w:jc w:val="right"/>
              <w:rPr/>
            </w:pPr>
            <w:r>
              <w:rPr/>
              <w:t>8,480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61" w:type="dxa"/>
            <w:tcBorders/>
            <w:shd w:fill="CCEEFF" w:val="clear"/>
            <w:vAlign w:val="center"/>
          </w:tcPr>
          <w:p>
            <w:pPr>
              <w:pStyle w:val="TableContents"/>
              <w:bidi w:val="0"/>
              <w:spacing w:before="0" w:after="0"/>
              <w:jc w:val="left"/>
              <w:rPr/>
            </w:pPr>
            <w:r>
              <w:rPr>
                <w:spacing w:val="-4"/>
              </w:rPr>
              <w:t>Redeemable Series A Cumulative Convertible Preferred Stock, February 28, 2026</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10" w:type="dxa"/>
            <w:tcBorders>
              <w:bottom w:val="double" w:sz="8" w:space="0" w:color="000000"/>
            </w:tcBorders>
            <w:shd w:fill="CCEEFF" w:val="clear"/>
            <w:tcMar>
              <w:bottom w:w="50" w:type="dxa"/>
            </w:tcMar>
            <w:vAlign w:val="center"/>
          </w:tcPr>
          <w:p>
            <w:pPr>
              <w:pStyle w:val="TableContents"/>
              <w:bidi w:val="0"/>
              <w:spacing w:before="0" w:after="283"/>
              <w:jc w:val="right"/>
              <w:rPr/>
            </w:pPr>
            <w:r>
              <w:rPr/>
              <w:t>25,534,204</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de-SPAC transaction (Note 4), the Company implemented a 2025 Equity Incentive Plan (“EIP”). The Company may grant equity-based awards under the EIP, including options, stock appreciation rights (“SARs”), restricted stock units (“RSUs”), restricted stock awards (“RSAs”) and other stock based awards. The maximum number of shares the Company may issue pursuant to awards granted under the 2025 EIP is 4,437,008 shares, subject to an annual increase, to be added on the first day of each fiscal year, commencing on January 1, 2027 and continuing until, and including, January 1, 2035, equal to the lesser of (i) 5% of the outstanding shares of all classes of Common Stock on such date or (ii) such lesser number of shares of Common Stock as determined by the board of directors. As of February 28, 2026, The Company has not granted any awards under the EIP.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Earnout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connection with the de-SPAC transaction (Note 4), the Company has reserved an additional 1,500,000 shares of common stock (“Earnout Share Pool”) in the EIP to be granted to eligible shareholders of the Company. During the Earnout Period, if the Earnout Target is met, or if a change of control transaction occurs during the Earnout Period and the Earnout Target was not already met, the Company will grant 1,500,000 Earnout Shares to the eligible shareholders. The Company evaluated the Earnout Shares under ASC 815-40, </w:t>
      </w:r>
      <w:r>
        <w:rPr>
          <w:rFonts w:ascii="Times New Roman;Times;serif" w:hAnsi="Times New Roman;Times;serif"/>
          <w:b w:val="false"/>
          <w:i/>
          <w:caps w:val="false"/>
          <w:smallCaps w:val="false"/>
          <w:color w:val="000000"/>
          <w:spacing w:val="4"/>
          <w:sz w:val="20"/>
        </w:rPr>
        <w:t>Derivatives and Hedging — Contracts in Entity’s Own Equity</w:t>
      </w:r>
      <w:r>
        <w:rPr>
          <w:rFonts w:ascii="Times New Roman;Times;serif" w:hAnsi="Times New Roman;Times;serif"/>
          <w:b w:val="false"/>
          <w:i w:val="false"/>
          <w:caps w:val="false"/>
          <w:smallCaps w:val="false"/>
          <w:color w:val="000000"/>
          <w:spacing w:val="4"/>
          <w:sz w:val="20"/>
        </w:rPr>
        <w:t xml:space="preserve">, and concluded the Earnout Shares meet the definition of an equity instrument, and accordingly will be accounted for as part of additional paid-in capital.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28, 2026, the continuity of share purchase warrants is as follows: </w:t>
      </w:r>
    </w:p>
    <w:tbl>
      <w:tblPr>
        <w:tblW w:w="8812" w:type="dxa"/>
        <w:jc w:val="left"/>
        <w:tblInd w:w="1393" w:type="dxa"/>
        <w:tblLayout w:type="fixed"/>
        <w:tblCellMar>
          <w:top w:w="0" w:type="dxa"/>
          <w:left w:w="0" w:type="dxa"/>
          <w:bottom w:w="28" w:type="dxa"/>
          <w:right w:w="0" w:type="dxa"/>
        </w:tblCellMar>
      </w:tblPr>
      <w:tblGrid>
        <w:gridCol w:w="3606"/>
        <w:gridCol w:w="109"/>
        <w:gridCol w:w="109"/>
        <w:gridCol w:w="109"/>
        <w:gridCol w:w="109"/>
        <w:gridCol w:w="1186"/>
        <w:gridCol w:w="109"/>
        <w:gridCol w:w="109"/>
        <w:gridCol w:w="109"/>
        <w:gridCol w:w="170"/>
        <w:gridCol w:w="352"/>
        <w:gridCol w:w="1009"/>
        <w:gridCol w:w="170"/>
        <w:gridCol w:w="109"/>
        <w:gridCol w:w="109"/>
        <w:gridCol w:w="150"/>
        <w:gridCol w:w="150"/>
        <w:gridCol w:w="727"/>
        <w:gridCol w:w="153"/>
        <w:gridCol w:w="158"/>
      </w:tblGrid>
      <w:tr>
        <w:trPr/>
        <w:tc>
          <w:tcPr>
            <w:tcW w:w="36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 xml:space="preserve">warrants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Weighted Average</w:t>
            </w:r>
            <w:r>
              <w:rPr/>
              <w:t xml:space="preserve"> </w:t>
              <w:br/>
            </w:r>
            <w:r>
              <w:rPr>
                <w:spacing w:val="-3"/>
              </w:rPr>
              <w:t xml:space="preserve">Exercise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Remaining</w:t>
            </w:r>
            <w:r>
              <w:rPr/>
              <w:t xml:space="preserve"> </w:t>
              <w:br/>
            </w:r>
            <w:r>
              <w:rPr>
                <w:spacing w:val="-3"/>
              </w:rPr>
              <w:t xml:space="preserve">life (Years)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606" w:type="dxa"/>
            <w:tcBorders/>
            <w:shd w:fill="CCEEFF" w:val="clear"/>
            <w:tcMar>
              <w:bottom w:w="0" w:type="dxa"/>
            </w:tcMar>
            <w:vAlign w:val="center"/>
          </w:tcPr>
          <w:p>
            <w:pPr>
              <w:pStyle w:val="TableContents"/>
              <w:bidi w:val="0"/>
              <w:spacing w:before="0" w:after="0"/>
              <w:jc w:val="left"/>
              <w:rPr>
                <w:spacing w:val="4"/>
              </w:rPr>
            </w:pPr>
            <w:r>
              <w:rPr>
                <w:spacing w:val="4"/>
              </w:rPr>
              <w:t xml:space="preserve">Balance, November 30,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2"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06" w:type="dxa"/>
            <w:tcBorders/>
            <w:tcMar>
              <w:bottom w:w="0" w:type="dxa"/>
            </w:tcMar>
            <w:vAlign w:val="center"/>
          </w:tcPr>
          <w:p>
            <w:pPr>
              <w:pStyle w:val="TableContents"/>
              <w:bidi w:val="0"/>
              <w:spacing w:before="0" w:after="0"/>
              <w:jc w:val="left"/>
              <w:rPr>
                <w:spacing w:val="4"/>
              </w:rPr>
            </w:pPr>
            <w:r>
              <w:rPr>
                <w:spacing w:val="4"/>
              </w:rPr>
              <w:t xml:space="preserve">Issued for PIPE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12.00</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4.99</w:t>
            </w:r>
          </w:p>
        </w:tc>
        <w:tc>
          <w:tcPr>
            <w:tcW w:w="15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60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Issued on reverse recapitalization (Note 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20,922,133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0" w:type="dxa"/>
            <w:tcBorders>
              <w:bottom w:val="single" w:sz="2" w:space="0" w:color="CCEEFF"/>
            </w:tcBorders>
            <w:shd w:fill="CCEEFF" w:val="clear"/>
            <w:vAlign w:val="center"/>
          </w:tcPr>
          <w:p>
            <w:pPr>
              <w:pStyle w:val="TableContents"/>
              <w:bidi w:val="0"/>
              <w:spacing w:before="0" w:after="283"/>
              <w:jc w:val="left"/>
              <w:rPr/>
            </w:pPr>
            <w:r>
              <w:rPr/>
              <w:t>​</w:t>
            </w:r>
          </w:p>
        </w:tc>
        <w:tc>
          <w:tcPr>
            <w:tcW w:w="35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0" w:type="dxa"/>
            </w:tcMar>
            <w:vAlign w:val="center"/>
          </w:tcPr>
          <w:p>
            <w:pPr>
              <w:pStyle w:val="TableContents"/>
              <w:bidi w:val="0"/>
              <w:spacing w:before="0" w:after="283"/>
              <w:jc w:val="right"/>
              <w:rPr/>
            </w:pPr>
            <w:r>
              <w:rPr/>
              <w:t>11.50</w:t>
            </w:r>
          </w:p>
        </w:tc>
        <w:tc>
          <w:tcPr>
            <w:tcW w:w="17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0" w:type="dxa"/>
            <w:tcBorders>
              <w:bottom w:val="single" w:sz="2" w:space="0" w:color="CCEEFF"/>
            </w:tcBorders>
            <w:shd w:fill="CCEEFF" w:val="clear"/>
            <w:vAlign w:val="center"/>
          </w:tcPr>
          <w:p>
            <w:pPr>
              <w:pStyle w:val="TableContents"/>
              <w:bidi w:val="0"/>
              <w:spacing w:before="0" w:after="283"/>
              <w:jc w:val="left"/>
              <w:rPr/>
            </w:pPr>
            <w:r>
              <w:rPr/>
              <w:t>​</w:t>
            </w:r>
          </w:p>
        </w:tc>
        <w:tc>
          <w:tcPr>
            <w:tcW w:w="15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27" w:type="dxa"/>
            <w:tcBorders>
              <w:bottom w:val="single" w:sz="2" w:space="0" w:color="000000"/>
            </w:tcBorders>
            <w:shd w:fill="CCEEFF" w:val="clear"/>
            <w:tcMar>
              <w:bottom w:w="50" w:type="dxa"/>
            </w:tcMar>
            <w:vAlign w:val="center"/>
          </w:tcPr>
          <w:p>
            <w:pPr>
              <w:pStyle w:val="TableContents"/>
              <w:bidi w:val="0"/>
              <w:spacing w:before="0" w:after="283"/>
              <w:jc w:val="right"/>
              <w:rPr/>
            </w:pPr>
            <w:r>
              <w:rPr/>
              <w:t>4.99</w:t>
            </w:r>
          </w:p>
        </w:tc>
        <w:tc>
          <w:tcPr>
            <w:tcW w:w="153"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606" w:type="dxa"/>
            <w:tcBorders/>
            <w:tcMar>
              <w:bottom w:w="0" w:type="dxa"/>
            </w:tcMar>
            <w:vAlign w:val="center"/>
          </w:tcPr>
          <w:p>
            <w:pPr>
              <w:pStyle w:val="TableContents"/>
              <w:bidi w:val="0"/>
              <w:spacing w:before="0" w:after="0"/>
              <w:jc w:val="left"/>
              <w:rPr>
                <w:spacing w:val="4"/>
              </w:rPr>
            </w:pPr>
            <w:r>
              <w:rPr>
                <w:spacing w:val="4"/>
              </w:rPr>
              <w:t xml:space="preserve">Balance, February 28,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23,422,133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bottom w:val="double" w:sz="8" w:space="0" w:color="000000"/>
            </w:tcBorders>
            <w:tcMar>
              <w:bottom w:w="50" w:type="dxa"/>
            </w:tcMar>
            <w:vAlign w:val="center"/>
          </w:tcPr>
          <w:p>
            <w:pPr>
              <w:pStyle w:val="TableContents"/>
              <w:bidi w:val="0"/>
              <w:spacing w:before="0" w:after="283"/>
              <w:jc w:val="right"/>
              <w:rPr/>
            </w:pPr>
            <w:r>
              <w:rPr/>
              <w:t>$</w:t>
            </w:r>
          </w:p>
        </w:tc>
        <w:tc>
          <w:tcPr>
            <w:tcW w:w="1009" w:type="dxa"/>
            <w:tcBorders>
              <w:bottom w:val="double" w:sz="8" w:space="0" w:color="000000"/>
            </w:tcBorders>
            <w:tcMar>
              <w:bottom w:w="50" w:type="dxa"/>
            </w:tcMar>
            <w:vAlign w:val="center"/>
          </w:tcPr>
          <w:p>
            <w:pPr>
              <w:pStyle w:val="TableContents"/>
              <w:bidi w:val="0"/>
              <w:spacing w:before="0" w:after="283"/>
              <w:jc w:val="right"/>
              <w:rPr/>
            </w:pPr>
            <w:r>
              <w:rPr/>
              <w:t>11.55</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bottom w:val="double" w:sz="8" w:space="0" w:color="000000"/>
            </w:tcBorders>
            <w:tcMar>
              <w:bottom w:w="50" w:type="dxa"/>
            </w:tcMar>
            <w:vAlign w:val="center"/>
          </w:tcPr>
          <w:p>
            <w:pPr>
              <w:pStyle w:val="TableContents"/>
              <w:bidi w:val="0"/>
              <w:spacing w:before="0" w:after="283"/>
              <w:jc w:val="right"/>
              <w:rPr/>
            </w:pPr>
            <w:r>
              <w:rPr/>
              <w:t>​</w:t>
            </w:r>
          </w:p>
        </w:tc>
        <w:tc>
          <w:tcPr>
            <w:tcW w:w="727" w:type="dxa"/>
            <w:tcBorders>
              <w:bottom w:val="double" w:sz="8" w:space="0" w:color="000000"/>
            </w:tcBorders>
            <w:tcMar>
              <w:bottom w:w="50" w:type="dxa"/>
            </w:tcMar>
            <w:vAlign w:val="center"/>
          </w:tcPr>
          <w:p>
            <w:pPr>
              <w:pStyle w:val="TableContents"/>
              <w:bidi w:val="0"/>
              <w:spacing w:before="0" w:after="283"/>
              <w:jc w:val="right"/>
              <w:rPr/>
            </w:pPr>
            <w:r>
              <w:rPr/>
              <w:t>4.99</w:t>
            </w:r>
          </w:p>
        </w:tc>
        <w:tc>
          <w:tcPr>
            <w:tcW w:w="15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28, 2026, the following share purchase warrants were outstanding: </w:t>
      </w:r>
    </w:p>
    <w:tbl>
      <w:tblPr>
        <w:tblW w:w="7197" w:type="dxa"/>
        <w:jc w:val="left"/>
        <w:tblInd w:w="1393" w:type="dxa"/>
        <w:tblLayout w:type="fixed"/>
        <w:tblCellMar>
          <w:top w:w="0" w:type="dxa"/>
          <w:left w:w="0" w:type="dxa"/>
          <w:bottom w:w="50" w:type="dxa"/>
          <w:right w:w="0" w:type="dxa"/>
        </w:tblCellMar>
      </w:tblPr>
      <w:tblGrid>
        <w:gridCol w:w="3172"/>
        <w:gridCol w:w="109"/>
        <w:gridCol w:w="109"/>
        <w:gridCol w:w="146"/>
        <w:gridCol w:w="304"/>
        <w:gridCol w:w="870"/>
        <w:gridCol w:w="146"/>
        <w:gridCol w:w="109"/>
        <w:gridCol w:w="109"/>
        <w:gridCol w:w="1969"/>
        <w:gridCol w:w="154"/>
      </w:tblGrid>
      <w:tr>
        <w:trPr/>
        <w:tc>
          <w:tcPr>
            <w:tcW w:w="3172" w:type="dxa"/>
            <w:tcBorders>
              <w:bottom w:val="single" w:sz="2" w:space="0" w:color="000000"/>
            </w:tcBorders>
            <w:vAlign w:val="center"/>
          </w:tcPr>
          <w:p>
            <w:pPr>
              <w:pStyle w:val="TableContents"/>
              <w:bidi w:val="0"/>
              <w:spacing w:before="0" w:after="0"/>
              <w:jc w:val="left"/>
              <w:rPr>
                <w:spacing w:val="-3"/>
              </w:rPr>
            </w:pPr>
            <w:r>
              <w:rPr>
                <w:spacing w:val="-3"/>
              </w:rPr>
              <w:t xml:space="preserve">Number of warrants outstanding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Exercise price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69" w:type="dxa"/>
            <w:tcBorders>
              <w:bottom w:val="single" w:sz="2" w:space="0" w:color="000000"/>
            </w:tcBorders>
            <w:vAlign w:val="center"/>
          </w:tcPr>
          <w:p>
            <w:pPr>
              <w:pStyle w:val="TableContents"/>
              <w:bidi w:val="0"/>
              <w:spacing w:before="0" w:after="0"/>
              <w:jc w:val="center"/>
              <w:rPr>
                <w:spacing w:val="-3"/>
              </w:rPr>
            </w:pPr>
            <w:r>
              <w:rPr>
                <w:spacing w:val="-3"/>
              </w:rPr>
              <w:t xml:space="preserve">Expiry date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72" w:type="dxa"/>
            <w:tcBorders/>
            <w:shd w:fill="CCEEFF" w:val="clear"/>
            <w:tcMar>
              <w:bottom w:w="0" w:type="dxa"/>
            </w:tcMar>
            <w:vAlign w:val="center"/>
          </w:tcPr>
          <w:p>
            <w:pPr>
              <w:pStyle w:val="TableContents"/>
              <w:bidi w:val="0"/>
              <w:spacing w:before="0" w:after="0"/>
              <w:jc w:val="left"/>
              <w:rPr>
                <w:spacing w:val="4"/>
              </w:rPr>
            </w:pPr>
            <w:r>
              <w:rPr>
                <w:spacing w:val="4"/>
              </w:rPr>
              <w:t xml:space="preserve">2,500,000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12.00</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9" w:type="dxa"/>
            <w:tcBorders/>
            <w:shd w:fill="CCEEFF" w:val="clear"/>
            <w:tcMar>
              <w:bottom w:w="0" w:type="dxa"/>
            </w:tcMar>
            <w:vAlign w:val="center"/>
          </w:tcPr>
          <w:p>
            <w:pPr>
              <w:pStyle w:val="TableContents"/>
              <w:bidi w:val="0"/>
              <w:spacing w:before="0" w:after="0"/>
              <w:jc w:val="center"/>
              <w:rPr>
                <w:spacing w:val="4"/>
              </w:rPr>
            </w:pPr>
            <w:r>
              <w:rPr>
                <w:spacing w:val="4"/>
              </w:rPr>
              <w:t xml:space="preserve">February 24, 2031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72" w:type="dxa"/>
            <w:tcBorders/>
            <w:tcMar>
              <w:bottom w:w="0" w:type="dxa"/>
            </w:tcMar>
            <w:vAlign w:val="center"/>
          </w:tcPr>
          <w:p>
            <w:pPr>
              <w:pStyle w:val="TableContents"/>
              <w:bidi w:val="0"/>
              <w:spacing w:before="0" w:after="0"/>
              <w:jc w:val="left"/>
              <w:rPr>
                <w:spacing w:val="4"/>
              </w:rPr>
            </w:pPr>
            <w:r>
              <w:rPr>
                <w:spacing w:val="4"/>
              </w:rPr>
              <w:t xml:space="preserve">20,922,133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4" w:type="dxa"/>
            <w:tcBorders/>
            <w:tcMar>
              <w:bottom w:w="0" w:type="dxa"/>
            </w:tcMar>
            <w:vAlign w:val="center"/>
          </w:tcPr>
          <w:p>
            <w:pPr>
              <w:pStyle w:val="TableContents"/>
              <w:bidi w:val="0"/>
              <w:spacing w:before="0" w:after="283"/>
              <w:jc w:val="right"/>
              <w:rPr/>
            </w:pPr>
            <w:r>
              <w:rPr/>
              <w:t>$</w:t>
            </w:r>
          </w:p>
        </w:tc>
        <w:tc>
          <w:tcPr>
            <w:tcW w:w="870" w:type="dxa"/>
            <w:tcBorders/>
            <w:tcMar>
              <w:bottom w:w="0" w:type="dxa"/>
            </w:tcMar>
            <w:vAlign w:val="center"/>
          </w:tcPr>
          <w:p>
            <w:pPr>
              <w:pStyle w:val="TableContents"/>
              <w:bidi w:val="0"/>
              <w:spacing w:before="0" w:after="283"/>
              <w:jc w:val="right"/>
              <w:rPr/>
            </w:pPr>
            <w:r>
              <w:rPr/>
              <w:t>11.50</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9" w:type="dxa"/>
            <w:tcBorders/>
            <w:tcMar>
              <w:bottom w:w="0" w:type="dxa"/>
            </w:tcMar>
            <w:vAlign w:val="center"/>
          </w:tcPr>
          <w:p>
            <w:pPr>
              <w:pStyle w:val="TableContents"/>
              <w:bidi w:val="0"/>
              <w:spacing w:before="0" w:after="0"/>
              <w:jc w:val="center"/>
              <w:rPr>
                <w:spacing w:val="4"/>
              </w:rPr>
            </w:pPr>
            <w:r>
              <w:rPr>
                <w:spacing w:val="4"/>
              </w:rPr>
              <w:t xml:space="preserve">February 24, 2031 </w:t>
            </w:r>
          </w:p>
        </w:tc>
        <w:tc>
          <w:tcPr>
            <w:tcW w:w="154" w:type="dxa"/>
            <w:tcBorders/>
            <w:tcMar>
              <w:bottom w:w="0" w:type="dxa"/>
            </w:tcMar>
            <w:vAlign w:val="center"/>
          </w:tcPr>
          <w:p>
            <w:pPr>
              <w:pStyle w:val="TableContents"/>
              <w:bidi w:val="0"/>
              <w:spacing w:before="0" w:after="283"/>
              <w:jc w:val="left"/>
              <w:rPr/>
            </w:pPr>
            <w:r>
              <w:rPr/>
              <w:t>​</w:t>
            </w:r>
          </w:p>
        </w:tc>
      </w:tr>
      <w:tr>
        <w:trPr/>
        <w:tc>
          <w:tcPr>
            <w:tcW w:w="3172" w:type="dxa"/>
            <w:tcBorders/>
            <w:shd w:fill="CCEEFF" w:val="clear"/>
            <w:tcMar>
              <w:bottom w:w="0" w:type="dxa"/>
            </w:tcMar>
            <w:vAlign w:val="center"/>
          </w:tcPr>
          <w:p>
            <w:pPr>
              <w:pStyle w:val="TableContents"/>
              <w:bidi w:val="0"/>
              <w:spacing w:before="0" w:after="283"/>
              <w:jc w:val="left"/>
              <w:rPr/>
            </w:pPr>
            <w:r>
              <w:rPr>
                <w:spacing w:val="-4"/>
              </w:rPr>
              <w:t>23,422,133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28, 2026, the Company classified 20,922,133 warrants as equity and 2,500,000 warrants as liabilities.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Activities during the three months period ended February 28,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in connection with its reverse recapitalization (Note 4), the Company issued the following warrants: </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11,500,000 public warrants to former public shareholders of SVII as replacements for the former SVII public warrants. Each whole warrant entitles the holder to purchase one common stock at an exercise price of $11.50; </w:t>
      </w:r>
      <w:r>
        <mc:AlternateContent>
          <mc:Choice Requires="wps">
            <w:drawing>
              <wp:anchor behindDoc="0" distT="6985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7"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7,000,000 warrants to the SVII Sponsor for replacement of the former SVII private warrants. Each whole warrant entitles the holder to purchase one common stock at an exercise price of $11.50; and </w:t>
      </w:r>
      <w:r>
        <mc:AlternateContent>
          <mc:Choice Requires="wps">
            <w:drawing>
              <wp:anchor behindDoc="0" distT="6985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8"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2,422,133 warrants to the SVII Sponsor in exchange for settlement of $2,422,133 of loans owed by SVII to the SVII Sponsor, at $1.00 per share. Each whole warrant entitles the holder to purchase one common stock at an exercise price of $11.50. </w:t>
      </w:r>
      <w:r>
        <mc:AlternateContent>
          <mc:Choice Requires="wps">
            <w:drawing>
              <wp:anchor behindDoc="0" distT="6985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19"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2,422,133 warrants in settlement of loans owed by SVII to the SVII Sponsor has been accounted for as a capital transaction with a shareholder of the Company, in connection with the reverse recapitalization.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in connection with the PIPE financing, the Company issued warrants to an accredited investor to purchase an aggregate of 2,500,000 shares of New Eagle common stock at an exercise price of $12.00 per share. These warrants are classified as liabilities, and had a fair value of $4,174,276 at issuance.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February 28, 2026, the Company incurred $45,000 (for the three months ended February 28, 2025 — $45,000) in fees to the Chief Executive Officer (the “CEO”) of the Company, and $25,000 of bonus to the CEO (for the three months ended February 28, 2025 — $Nil) payable upon completion of the de-SPAC transaction (Note 4). As of February 28, 2026, $15,000 of CEO fees (November 30, 2025 — $15,000), $25,000 of bonus (November 30, 2025 — $Nil) and $Nil in expense reimbursements (November 30, 2025 — $Nil) were included in due to related parties.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February 28, 2026, the Company incurred $32,250 (for the three months ended February 28, 2025 — $Nil) in fees with a company controlled by the Chief Financial Officer (the “CFO”) of the Company. As of February 28, 2026, $10,750 of CFO fees (November 30, 2025 — $10,750) were included in due to related parties.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February 28, 2026, the Company incurred $Nil (for the three months ended February 28, 2025 — $45,000) in fees with a company controlled by the former Chief Financial Officer (the “former CFO”) of the Company. As of February 28, 2026, $Nil of former CFO fees (November 30, 2025 — $15,000) and $Nil in expense reimbursements (November 30, 2025 — $Nil) were included in due to related parties.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February 28, 2026, the Company incurred $45,000 (for the three months ended February 28, 2025 — $45,000) of consulting fees with a company controlled by a former director of the Company, prior to the former director’s cessation upon the de-SPAC transaction (Note 4). As of February 28, 2026, $Nil (November 30, 2025 — $22,500) of consulting fees and $Nil (November 30, 2025 — $7,971) in expense reimbursements were included in due to related parties. As of February 28, 2026, $30,000 (November 30, 2025 — $Nil) of such consulting fees were included in accounts payable and accrued liabilities.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months ended February 28, 2026, the Company incurred $75,000 (for the three months ended February 28, 2025 — $121,250) of consulting fees with a company (for the three months ended February 28, 2025 — two companies) controlled by a stockholder of the Company. As of February 28, 2026, $Nil (November 30, 2025 — $232,000) of consulting fees and $15,044 (November 30, 2025 — $6,112) in expense reimbursements were included in due to related parties.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there were two stockholders, who held over 5% of the Company’s common stock during the three months ended February 28, 2025, that provided consulting services to the Company. The two stockholders no longer hold over 5% of the Company’s common stock during the three months ended February 28, 2026. During the three months ended February 28, 2026, the Company incurred $Nil (for the three months ended February 28, 2025 — $45,000) and $Nil (for the three months ended February 28, 2025 — $45,250) of consulting fees with these two stockholders. As of February 28, 2026, $Nil (November 30, 2025 — $44,819) and $Nil (November 30, 2025 — $46,250), respectively, in consulting fees to these two stockholders were included in due to related parties.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28, 2026, $Nil (November 30, 2025 — $128,064) was included in due to related parties for amounts relating to expense reimbursements due to corporations over which stockholders of the Company exercise significant influence.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28, 2026, $Nil (November 30, 2025 — $12,865) was included in due to related parties for amounts relating to expense reimbursements due to a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   PROFESSIONAL FEES (UNAUDITED)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of professional fees are presented below: </w:t>
      </w:r>
    </w:p>
    <w:tbl>
      <w:tblPr>
        <w:tblW w:w="8154" w:type="dxa"/>
        <w:jc w:val="left"/>
        <w:tblInd w:w="1393" w:type="dxa"/>
        <w:tblLayout w:type="fixed"/>
        <w:tblCellMar>
          <w:top w:w="0" w:type="dxa"/>
          <w:left w:w="0" w:type="dxa"/>
          <w:bottom w:w="28" w:type="dxa"/>
          <w:right w:w="0" w:type="dxa"/>
        </w:tblCellMar>
      </w:tblPr>
      <w:tblGrid>
        <w:gridCol w:w="3414"/>
        <w:gridCol w:w="109"/>
        <w:gridCol w:w="109"/>
        <w:gridCol w:w="170"/>
        <w:gridCol w:w="352"/>
        <w:gridCol w:w="1383"/>
        <w:gridCol w:w="170"/>
        <w:gridCol w:w="109"/>
        <w:gridCol w:w="109"/>
        <w:gridCol w:w="170"/>
        <w:gridCol w:w="352"/>
        <w:gridCol w:w="1383"/>
        <w:gridCol w:w="170"/>
        <w:gridCol w:w="154"/>
      </w:tblGrid>
      <w:tr>
        <w:trPr/>
        <w:tc>
          <w:tcPr>
            <w:tcW w:w="34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7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three months</w:t>
            </w:r>
            <w:r>
              <w:rPr/>
              <w:t xml:space="preserve"> </w:t>
              <w:br/>
            </w:r>
            <w:r>
              <w:rPr>
                <w:spacing w:val="-3"/>
              </w:rPr>
              <w:t>ended</w:t>
            </w:r>
            <w:r>
              <w:rPr/>
              <w:t xml:space="preserve"> </w:t>
              <w:br/>
            </w:r>
            <w:r>
              <w:rPr>
                <w:spacing w:val="-3"/>
              </w:rPr>
              <w:t xml:space="preserve">February 28, 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7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three months</w:t>
            </w:r>
            <w:r>
              <w:rPr/>
              <w:t xml:space="preserve"> </w:t>
              <w:br/>
            </w:r>
            <w:r>
              <w:rPr>
                <w:spacing w:val="-3"/>
              </w:rPr>
              <w:t>ended</w:t>
            </w:r>
            <w:r>
              <w:rPr/>
              <w:t xml:space="preserve"> </w:t>
              <w:br/>
            </w:r>
            <w:r>
              <w:rPr>
                <w:spacing w:val="-3"/>
              </w:rPr>
              <w:t xml:space="preserve">February 28,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14" w:type="dxa"/>
            <w:tcBorders/>
            <w:shd w:fill="CCEEFF" w:val="clear"/>
            <w:tcMar>
              <w:bottom w:w="0" w:type="dxa"/>
            </w:tcMar>
            <w:vAlign w:val="center"/>
          </w:tcPr>
          <w:p>
            <w:pPr>
              <w:pStyle w:val="TableContents"/>
              <w:bidi w:val="0"/>
              <w:spacing w:before="0" w:after="0"/>
              <w:jc w:val="left"/>
              <w:rPr>
                <w:spacing w:val="4"/>
              </w:rPr>
            </w:pPr>
            <w:r>
              <w:rPr>
                <w:spacing w:val="4"/>
              </w:rPr>
              <w:t xml:space="preserve">Consulting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2" w:type="dxa"/>
            <w:tcBorders/>
            <w:shd w:fill="CCEEFF" w:val="clear"/>
            <w:tcMar>
              <w:bottom w:w="0" w:type="dxa"/>
            </w:tcMar>
            <w:vAlign w:val="center"/>
          </w:tcPr>
          <w:p>
            <w:pPr>
              <w:pStyle w:val="TableContents"/>
              <w:bidi w:val="0"/>
              <w:spacing w:before="0" w:after="283"/>
              <w:jc w:val="right"/>
              <w:rPr/>
            </w:pPr>
            <w:r>
              <w:rPr/>
              <w:t>$</w:t>
            </w:r>
          </w:p>
        </w:tc>
        <w:tc>
          <w:tcPr>
            <w:tcW w:w="1383" w:type="dxa"/>
            <w:tcBorders/>
            <w:shd w:fill="CCEEFF" w:val="clear"/>
            <w:tcMar>
              <w:bottom w:w="0" w:type="dxa"/>
            </w:tcMar>
            <w:vAlign w:val="center"/>
          </w:tcPr>
          <w:p>
            <w:pPr>
              <w:pStyle w:val="TableContents"/>
              <w:bidi w:val="0"/>
              <w:spacing w:before="0" w:after="283"/>
              <w:jc w:val="right"/>
              <w:rPr/>
            </w:pPr>
            <w:r>
              <w:rPr/>
              <w:t>302,400</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2" w:type="dxa"/>
            <w:tcBorders/>
            <w:shd w:fill="CCEEFF" w:val="clear"/>
            <w:tcMar>
              <w:bottom w:w="0" w:type="dxa"/>
            </w:tcMar>
            <w:vAlign w:val="center"/>
          </w:tcPr>
          <w:p>
            <w:pPr>
              <w:pStyle w:val="TableContents"/>
              <w:bidi w:val="0"/>
              <w:spacing w:before="0" w:after="283"/>
              <w:jc w:val="right"/>
              <w:rPr/>
            </w:pPr>
            <w:r>
              <w:rPr/>
              <w:t>$</w:t>
            </w:r>
          </w:p>
        </w:tc>
        <w:tc>
          <w:tcPr>
            <w:tcW w:w="1383" w:type="dxa"/>
            <w:tcBorders/>
            <w:shd w:fill="CCEEFF" w:val="clear"/>
            <w:tcMar>
              <w:bottom w:w="0" w:type="dxa"/>
            </w:tcMar>
            <w:vAlign w:val="center"/>
          </w:tcPr>
          <w:p>
            <w:pPr>
              <w:pStyle w:val="TableContents"/>
              <w:bidi w:val="0"/>
              <w:spacing w:before="0" w:after="283"/>
              <w:jc w:val="right"/>
              <w:rPr/>
            </w:pPr>
            <w:r>
              <w:rPr/>
              <w:t>313,076</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14" w:type="dxa"/>
            <w:tcBorders/>
            <w:tcMar>
              <w:bottom w:w="0" w:type="dxa"/>
            </w:tcMar>
            <w:vAlign w:val="center"/>
          </w:tcPr>
          <w:p>
            <w:pPr>
              <w:pStyle w:val="TableContents"/>
              <w:bidi w:val="0"/>
              <w:spacing w:before="0" w:after="0"/>
              <w:jc w:val="left"/>
              <w:rPr>
                <w:spacing w:val="4"/>
              </w:rPr>
            </w:pPr>
            <w:r>
              <w:rPr>
                <w:spacing w:val="4"/>
              </w:rPr>
              <w:t xml:space="preserve">Management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383" w:type="dxa"/>
            <w:tcBorders/>
            <w:tcMar>
              <w:bottom w:w="0" w:type="dxa"/>
            </w:tcMar>
            <w:vAlign w:val="center"/>
          </w:tcPr>
          <w:p>
            <w:pPr>
              <w:pStyle w:val="TableContents"/>
              <w:bidi w:val="0"/>
              <w:spacing w:before="0" w:after="283"/>
              <w:jc w:val="right"/>
              <w:rPr/>
            </w:pPr>
            <w:r>
              <w:rPr/>
              <w:t>102,250</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383" w:type="dxa"/>
            <w:tcBorders/>
            <w:tcMar>
              <w:bottom w:w="0" w:type="dxa"/>
            </w:tcMar>
            <w:vAlign w:val="center"/>
          </w:tcPr>
          <w:p>
            <w:pPr>
              <w:pStyle w:val="TableContents"/>
              <w:bidi w:val="0"/>
              <w:spacing w:before="0" w:after="283"/>
              <w:jc w:val="right"/>
              <w:rPr/>
            </w:pPr>
            <w:r>
              <w:rPr/>
              <w:t>90,000</w:t>
            </w:r>
          </w:p>
        </w:tc>
        <w:tc>
          <w:tcPr>
            <w:tcW w:w="1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1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Legal, accounting and others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0" w:type="dxa"/>
            <w:tcBorders>
              <w:bottom w:val="single" w:sz="2" w:space="0" w:color="CCEEFF"/>
            </w:tcBorders>
            <w:shd w:fill="CCEEFF" w:val="clear"/>
            <w:vAlign w:val="center"/>
          </w:tcPr>
          <w:p>
            <w:pPr>
              <w:pStyle w:val="TableContents"/>
              <w:bidi w:val="0"/>
              <w:spacing w:before="0" w:after="283"/>
              <w:jc w:val="left"/>
              <w:rPr/>
            </w:pPr>
            <w:r>
              <w:rPr/>
              <w:t>​</w:t>
            </w:r>
          </w:p>
        </w:tc>
        <w:tc>
          <w:tcPr>
            <w:tcW w:w="35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83" w:type="dxa"/>
            <w:tcBorders>
              <w:bottom w:val="single" w:sz="2" w:space="0" w:color="000000"/>
            </w:tcBorders>
            <w:shd w:fill="CCEEFF" w:val="clear"/>
            <w:tcMar>
              <w:bottom w:w="50" w:type="dxa"/>
            </w:tcMar>
            <w:vAlign w:val="center"/>
          </w:tcPr>
          <w:p>
            <w:pPr>
              <w:pStyle w:val="TableContents"/>
              <w:bidi w:val="0"/>
              <w:spacing w:before="0" w:after="283"/>
              <w:jc w:val="right"/>
              <w:rPr/>
            </w:pPr>
            <w:r>
              <w:rPr/>
              <w:t>54,270</w:t>
            </w:r>
          </w:p>
        </w:tc>
        <w:tc>
          <w:tcPr>
            <w:tcW w:w="17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0" w:type="dxa"/>
            <w:tcBorders>
              <w:bottom w:val="single" w:sz="2" w:space="0" w:color="CCEEFF"/>
            </w:tcBorders>
            <w:shd w:fill="CCEEFF" w:val="clear"/>
            <w:vAlign w:val="center"/>
          </w:tcPr>
          <w:p>
            <w:pPr>
              <w:pStyle w:val="TableContents"/>
              <w:bidi w:val="0"/>
              <w:spacing w:before="0" w:after="283"/>
              <w:jc w:val="left"/>
              <w:rPr/>
            </w:pPr>
            <w:r>
              <w:rPr/>
              <w:t>​</w:t>
            </w:r>
          </w:p>
        </w:tc>
        <w:tc>
          <w:tcPr>
            <w:tcW w:w="35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83" w:type="dxa"/>
            <w:tcBorders>
              <w:bottom w:val="single" w:sz="2" w:space="0" w:color="000000"/>
            </w:tcBorders>
            <w:shd w:fill="CCEEFF" w:val="clear"/>
            <w:tcMar>
              <w:bottom w:w="50" w:type="dxa"/>
            </w:tcMar>
            <w:vAlign w:val="center"/>
          </w:tcPr>
          <w:p>
            <w:pPr>
              <w:pStyle w:val="TableContents"/>
              <w:bidi w:val="0"/>
              <w:spacing w:before="0" w:after="283"/>
              <w:jc w:val="right"/>
              <w:rPr/>
            </w:pPr>
            <w:r>
              <w:rPr/>
              <w:t>99,837</w:t>
            </w:r>
          </w:p>
        </w:tc>
        <w:tc>
          <w:tcPr>
            <w:tcW w:w="170"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414" w:type="dxa"/>
            <w:tcBorders/>
            <w:tcMar>
              <w:bottom w:w="0" w:type="dxa"/>
            </w:tcMar>
            <w:vAlign w:val="center"/>
          </w:tcPr>
          <w:p>
            <w:pPr>
              <w:pStyle w:val="TableContents"/>
              <w:bidi w:val="0"/>
              <w:spacing w:before="0" w:after="0"/>
              <w:jc w:val="left"/>
              <w:rPr/>
            </w:pPr>
            <w:r>
              <w:rPr>
                <w:spacing w:val="-4"/>
              </w:rPr>
              <w:t>Total, Professional fees (unaudited)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bottom w:val="double" w:sz="8" w:space="0" w:color="000000"/>
            </w:tcBorders>
            <w:tcMar>
              <w:bottom w:w="50" w:type="dxa"/>
            </w:tcMar>
            <w:vAlign w:val="center"/>
          </w:tcPr>
          <w:p>
            <w:pPr>
              <w:pStyle w:val="TableContents"/>
              <w:bidi w:val="0"/>
              <w:spacing w:before="0" w:after="283"/>
              <w:jc w:val="right"/>
              <w:rPr/>
            </w:pPr>
            <w:r>
              <w:rPr/>
              <w:t>$</w:t>
            </w:r>
          </w:p>
        </w:tc>
        <w:tc>
          <w:tcPr>
            <w:tcW w:w="1383" w:type="dxa"/>
            <w:tcBorders>
              <w:bottom w:val="double" w:sz="8" w:space="0" w:color="000000"/>
            </w:tcBorders>
            <w:tcMar>
              <w:bottom w:w="50" w:type="dxa"/>
            </w:tcMar>
            <w:vAlign w:val="center"/>
          </w:tcPr>
          <w:p>
            <w:pPr>
              <w:pStyle w:val="TableContents"/>
              <w:bidi w:val="0"/>
              <w:spacing w:before="0" w:after="283"/>
              <w:jc w:val="right"/>
              <w:rPr/>
            </w:pPr>
            <w:r>
              <w:rPr/>
              <w:t>458,920</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bottom w:val="double" w:sz="8" w:space="0" w:color="000000"/>
            </w:tcBorders>
            <w:tcMar>
              <w:bottom w:w="50" w:type="dxa"/>
            </w:tcMar>
            <w:vAlign w:val="center"/>
          </w:tcPr>
          <w:p>
            <w:pPr>
              <w:pStyle w:val="TableContents"/>
              <w:bidi w:val="0"/>
              <w:spacing w:before="0" w:after="283"/>
              <w:jc w:val="right"/>
              <w:rPr/>
            </w:pPr>
            <w:r>
              <w:rPr/>
              <w:t>$</w:t>
            </w:r>
          </w:p>
        </w:tc>
        <w:tc>
          <w:tcPr>
            <w:tcW w:w="1383" w:type="dxa"/>
            <w:tcBorders>
              <w:bottom w:val="double" w:sz="8" w:space="0" w:color="000000"/>
            </w:tcBorders>
            <w:tcMar>
              <w:bottom w:w="50" w:type="dxa"/>
            </w:tcMar>
            <w:vAlign w:val="center"/>
          </w:tcPr>
          <w:p>
            <w:pPr>
              <w:pStyle w:val="TableContents"/>
              <w:bidi w:val="0"/>
              <w:spacing w:before="0" w:after="283"/>
              <w:jc w:val="right"/>
              <w:rPr/>
            </w:pPr>
            <w:r>
              <w:rPr/>
              <w:t>502,913</w:t>
            </w:r>
          </w:p>
        </w:tc>
        <w:tc>
          <w:tcPr>
            <w:tcW w:w="1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3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15.   COMMITMENTS AND CONTINGENCIES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 2024, the Company entered into a consulting agreement with the CEO of the Company. Pursuant to the agreement, the CEO is eligible to receive a one-time cash payment of $25,000 upon completion of an initial public offering. In connection with the completion of the de-SPAC transaction (Note 4), this condition was satisfied, and accordingly, the $25,000 payment became payable and was accrued as of February 28, 2026. Following the de-SPAC transaction, the CEO is expected to enter into an executive employment agreement with the Company, which is currently subject to approval by the board of directors. Pursuant to the new executive employment agreement, if approved by the board of directors, the CEO will be entitled to receive $50,000 of cash bonus payable upon the commencement of the Company’s technical work program at the AUP, 183,333 RSUs pursuant to the EIP, and additional equity awards consisting of a mix of stock options and RSUs totaling 1,000,000 shares, with allocations to be determined by the Company’s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 2024, the Company began leasing office space on a month-to-month basis from an unrelated third party under an operating lease agreement. The monthly payments approximate $7,500 (CAD$10,500) and ancillary expenses. During the three months ended February 28, 2026, rent expense under this agreement totaled $22,678 (for the three months ended February 28, 2025 — $26,460).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29, 2025, the Company also entered into the PIPE Agreement with Eagle Energy and a private investor, regarding a potential issuance by the Company, of 29,700 shares of Series A Cumulative Convertible Preferred Stock for $29,700,000 (“PIPE Issuance”), upon the completion of the de-SPAC transaction as contemplated by the BCA (Note 4). The PIPE Issuance was completed on February 24, 2026. The Series A Cumulative Convertible Preferred Stock accrues dividends at 12% annually (if paid in kind), or 10% annually (if paid in cash). At the option of the holder, the PIPE Issuance is convertible to common stock of the Company initially at a conversion price of $11.88, representing a conversion ratio of 1-to-84.18, subject to adjustments. In connection with the PIPE Issuance, the Company also issued to the investor 2,500,000 warrants with an exercise price of $12.00 per share (Note 12).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15, 2025, the Company entered into a consulting agreement with the CFO of the Company. Pursuant to the agreement, the Company will use commercially reasonable efforts to issue 90,000 stock options to the CFO upon completion of listing on Nasdaq.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16, 2025, the Company entered into an operating lease agreement from an unrelated third party for the office space in New York for 62 months, which commenced on January 1, 2026 (Note 10). The monthly payments approximate $14,457 and ancillary expenses. During the period ended February 28, 2026, rent expense under this agreement totaled $28,447 (February 28, 2025 — $Nil).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3, 2025, the Company entered into an operating lease agreement from an unrelated third party for the office space in Vancouver for 2 years (Note 10). The monthly payments approximate $4,211 (CAD $5,787) and ancillary expenses. During the period February 28, 2026, rent expense under this agreement totaled $11,312 (February 28, 2025 — $Nil).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upon the completion of the de-SPAC transaction (Note 4), the Company granted the right to certain shareholders of the Company to receive Earnout Shares (Note 12). During the Earnout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 until February 24, 2031, if the Earnout Target is met, or if a change of control transaction occurs during the Earnout Period and the Earnout Target was not already met, the Company will grant 1,500,000 Earnout Shares to the eligible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Contingencies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could potentially become involved in various lawsuits, actions and claims, from time to time, arising in the ordinary course of business, although management is not aware of any such lawsuits, actions or claims at the date of issuance of these unaudited condensed consolidated interim financial statements. In management’s opinion, should any such items occur, the ultimate outcome will not have a material adverse effect on the financial position or results of operations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16.   RISK CONCENTRATION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instruments, which potentially subject the Company to concentration of risk, consist principally of cash and accounts payable and accrued liabilities. The total uninsured cash balance as of February 28, 2026 was $30,969,352 (November 30, 2025 — $980,411). The uninsured cash balance located in Canada was $176,559 and the uninsured cash balance located in the United States was $30,792,793.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had two vendors that accounted for 56% of total accounts payable and accrued liabilities as of November 30, 2025, which were settled as of February 28, 2026. As of February 28, 2026, two vendors accounted for approximately 23% of the Company’s total accounts payable and accrued liabilities, and the top five vendors collectively accounted for approximately 48% of total accounts payable and accrued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17.   SUBSEQUENT EVENTS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evaluated all events and transactions occurring subsequent to February 28, 2026, through the date the unaudited condensed consolidated interim financial statements were issued, for items requiring adjustment to or disclosure in the accompanying unaudited condensed consolidated interim financial statements and notes to the unaudited condensed consolidated interim financial statements. The Company noted no such events or transactions other than those described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2026, the Company filed registration statement on Form S-1, which was subsequently amended on April 9, 2026. The registration statement relates to (i) a primary offering of up to 23,422,133 shares of common stock issuable upon the exercise of warrants and up to 5,940,000 shares of common stock issuable upon the conversion of Series A Cumulative Convertible Preferred Stock; and (ii) a secondary offering of up to 30,688,995 shares of common stock and up to 11,922,133 warrants that may be offered for resale from time to time by the selling securityholders named in the registration statement, pursuant to the Company’s registration rights obligations under the registration rights agreement (Note 4) entered into with certain stockholders of the Company in connection with the completion of the de-SPAC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28, 2026, the board of directors of the Company approved the increase of size of the board of directors to seven. The board of directors of the Company also approved the appointment of Mark Mukhija, CEO of the Company, as the chairman of the board of directors.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6, 2026, the board of directors approved the appointment of Kuljit Basi as a director of the Company.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fROIR3"/>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left"/>
        <w:rPr>
          <w:caps w:val="false"/>
          <w:smallCaps w:val="false"/>
          <w:color w:val="000000"/>
        </w:rPr>
      </w:pPr>
      <w:r>
        <w:rPr>
          <w:caps w:val="false"/>
          <w:smallCaps w:val="false"/>
          <w:color w:val="000000"/>
        </w:rPr>
        <w:drawing>
          <wp:inline distT="0" distB="0" distL="0" distR="0">
            <wp:extent cx="857250" cy="1228725"/>
            <wp:effectExtent l="0" t="0" r="0" b="0"/>
            <wp:docPr id="3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5" descr=""/>
                    <pic:cNvPicPr>
                      <a:picLocks noChangeAspect="1" noChangeArrowheads="1"/>
                    </pic:cNvPicPr>
                  </pic:nvPicPr>
                  <pic:blipFill>
                    <a:blip r:embed="rId6"/>
                    <a:stretch>
                      <a:fillRect/>
                    </a:stretch>
                  </pic:blipFill>
                  <pic:spPr bwMode="auto">
                    <a:xfrm>
                      <a:off x="0" y="0"/>
                      <a:ext cx="857250" cy="1228725"/>
                    </a:xfrm>
                    <a:prstGeom prst="rect">
                      <a:avLst/>
                    </a:prstGeom>
                  </pic:spPr>
                </pic:pic>
              </a:graphicData>
            </a:graphic>
          </wp:inline>
        </w:drawing>
      </w:r>
      <w:r>
        <w:rPr>
          <w:caps w:val="false"/>
          <w:smallCaps w:val="false"/>
          <w:color w:val="000000"/>
          <w:spacing w:val="4"/>
        </w:rPr>
        <w:t xml:space="preserve">  </w:t>
      </w:r>
    </w:p>
    <w:p>
      <w:pPr>
        <w:pStyle w:val="TextBody"/>
        <w:bidi w:val="0"/>
        <w:spacing w:lineRule="atLeast" w:line="240" w:before="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REPORT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the Board of Directors and Stockholders of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Eagle Energy Metals Corp. </w:t>
      </w:r>
    </w:p>
    <w:p>
      <w:pPr>
        <w:pStyle w:val="TextBody"/>
        <w:bidi w:val="0"/>
        <w:spacing w:lineRule="atLeast" w:line="240" w:before="20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on the Financial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audited the accompanying balance sheets of Eagle Energy Metals Corp. (the “Company”) as of November 30, 2025 and 2024, and the related statements of operations, changes in stockholders’ deficit, and cash flows for the year ended November 30, 2025 and the period from December 14, 2023 (inception) through November 30, 2024, and the related notes to the financial statements (collectively referred to as the “financial statements”). In our opinion, the financial statements referred to above present fairly, in all material respects, the financial position of the Company as of November 30, 2025 and 2024, and the results of its operations and its cash flows for the year ended November 30, 2025 and the period from December 14, 2023 (inception) through November 30, 2024 in accordance with accounting principles generally accepted in the United States of America. </w:t>
      </w:r>
    </w:p>
    <w:p>
      <w:pPr>
        <w:pStyle w:val="TextBody"/>
        <w:bidi w:val="0"/>
        <w:spacing w:lineRule="atLeast" w:line="240" w:before="20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Substantial Doubt about the Company’s Ability to Continue as a Going Concern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financial statements have been prepared assuming that the Company will continue as a going concern. As discussed in Note 2 of the notes to the financial statements, the Company has suffered losses from operations since inception and has insufficient working capital to fund future operations, both of which raise substantial doubt about its ability to continue as a going concern. Management’s plans in regard to these matters are also described in Note 2. The financial statements do not include any adjustments that might result from the outcome of this uncertainty. </w:t>
      </w:r>
    </w:p>
    <w:p>
      <w:pPr>
        <w:pStyle w:val="TextBody"/>
        <w:bidi w:val="0"/>
        <w:spacing w:lineRule="atLeast" w:line="240" w:before="20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for Opinion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tLeast" w:line="220" w:before="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tLeast" w:line="220" w:before="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tLeast" w:line="230" w:before="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served as the Company’s auditor since 2025. </w:t>
      </w:r>
    </w:p>
    <w:p>
      <w:pPr>
        <w:pStyle w:val="TextBody"/>
        <w:bidi w:val="0"/>
        <w:spacing w:lineRule="atLeast" w:line="240" w:before="20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 Adeptus Partners,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Adeptus Partners,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Ocean, New Jersey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January 20, 2026</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fEEMCC"/>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BALANCE SHEET</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 OF NOVEMBER 30, 2025 AND 2024</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913"/>
        <w:gridCol w:w="109"/>
        <w:gridCol w:w="109"/>
        <w:gridCol w:w="112"/>
        <w:gridCol w:w="233"/>
        <w:gridCol w:w="1194"/>
        <w:gridCol w:w="112"/>
        <w:gridCol w:w="109"/>
        <w:gridCol w:w="109"/>
        <w:gridCol w:w="112"/>
        <w:gridCol w:w="233"/>
        <w:gridCol w:w="1194"/>
        <w:gridCol w:w="112"/>
        <w:gridCol w:w="161"/>
      </w:tblGrid>
      <w:tr>
        <w:trPr/>
        <w:tc>
          <w:tcPr>
            <w:tcW w:w="49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November 30,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November 30, 2024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4913"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913" w:type="dxa"/>
            <w:tcBorders/>
            <w:tcMar>
              <w:bottom w:w="0" w:type="dxa"/>
            </w:tcMar>
            <w:vAlign w:val="center"/>
          </w:tcPr>
          <w:p>
            <w:pPr>
              <w:pStyle w:val="TableContents"/>
              <w:bidi w:val="0"/>
              <w:spacing w:before="0" w:after="283"/>
              <w:jc w:val="left"/>
              <w:rPr/>
            </w:pPr>
            <w:r>
              <w:rPr>
                <w:spacing w:val="-4"/>
              </w:rPr>
              <w:t>Current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913" w:type="dxa"/>
            <w:tcBorders/>
            <w:shd w:fill="CCEEFF" w:val="clear"/>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1,301,928</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717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9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Prepaid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233" w:type="dxa"/>
            <w:tcBorders>
              <w:bottom w:val="single" w:sz="2" w:space="0" w:color="000000"/>
            </w:tcBorders>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tcMar>
              <w:bottom w:w="50" w:type="dxa"/>
            </w:tcMar>
            <w:vAlign w:val="center"/>
          </w:tcPr>
          <w:p>
            <w:pPr>
              <w:pStyle w:val="TableContents"/>
              <w:bidi w:val="0"/>
              <w:spacing w:before="0" w:after="283"/>
              <w:jc w:val="right"/>
              <w:rPr/>
            </w:pPr>
            <w:r>
              <w:rPr/>
              <w:t>162,897</w:t>
            </w:r>
          </w:p>
        </w:tc>
        <w:tc>
          <w:tcPr>
            <w:tcW w:w="1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233" w:type="dxa"/>
            <w:tcBorders>
              <w:bottom w:val="single" w:sz="2" w:space="0" w:color="000000"/>
            </w:tcBorders>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tcMar>
              <w:bottom w:w="50" w:type="dxa"/>
            </w:tcMar>
            <w:vAlign w:val="center"/>
          </w:tcPr>
          <w:p>
            <w:pPr>
              <w:pStyle w:val="TableContents"/>
              <w:bidi w:val="0"/>
              <w:spacing w:before="0" w:after="283"/>
              <w:jc w:val="right"/>
              <w:rPr/>
            </w:pPr>
            <w:r>
              <w:rPr/>
              <w:t>427</w:t>
            </w:r>
          </w:p>
        </w:tc>
        <w:tc>
          <w:tcPr>
            <w:tcW w:w="112" w:type="dxa"/>
            <w:tcBorders>
              <w:bottom w:val="single" w:sz="2" w:space="0" w:color="FFFFFF"/>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4913" w:type="dxa"/>
            <w:tcBorders/>
            <w:shd w:fill="CCEEFF" w:val="clear"/>
            <w:tcMar>
              <w:bottom w:w="0" w:type="dxa"/>
            </w:tcMar>
            <w:vAlign w:val="center"/>
          </w:tcPr>
          <w:p>
            <w:pPr>
              <w:pStyle w:val="TableContents"/>
              <w:bidi w:val="0"/>
              <w:spacing w:before="0" w:after="0"/>
              <w:jc w:val="left"/>
              <w:rPr>
                <w:spacing w:val="4"/>
              </w:rPr>
            </w:pPr>
            <w:r>
              <w:rPr>
                <w:spacing w:val="4"/>
              </w:rPr>
              <w:t xml:space="preserve">Total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1,464,825</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1,144</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913" w:type="dxa"/>
            <w:tcBorders/>
            <w:tcMar>
              <w:bottom w:w="0" w:type="dxa"/>
            </w:tcMar>
            <w:vAlign w:val="center"/>
          </w:tcPr>
          <w:p>
            <w:pPr>
              <w:pStyle w:val="TableContents"/>
              <w:bidi w:val="0"/>
              <w:spacing w:before="0" w:after="0"/>
              <w:jc w:val="left"/>
              <w:rPr>
                <w:spacing w:val="4"/>
              </w:rPr>
            </w:pPr>
            <w:r>
              <w:rPr>
                <w:spacing w:val="4"/>
              </w:rPr>
              <w:t xml:space="preserve">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71,506</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913" w:type="dxa"/>
            <w:tcBorders/>
            <w:shd w:fill="CCEEFF" w:val="clear"/>
            <w:tcMar>
              <w:bottom w:w="0" w:type="dxa"/>
            </w:tcMar>
            <w:vAlign w:val="center"/>
          </w:tcPr>
          <w:p>
            <w:pPr>
              <w:pStyle w:val="TableContents"/>
              <w:bidi w:val="0"/>
              <w:spacing w:before="0" w:after="0"/>
              <w:jc w:val="left"/>
              <w:rPr>
                <w:spacing w:val="4"/>
              </w:rPr>
            </w:pPr>
            <w:r>
              <w:rPr>
                <w:spacing w:val="4"/>
              </w:rPr>
              <w:t xml:space="preserve">Intangible asset,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65,915</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913" w:type="dxa"/>
            <w:tcBorders/>
            <w:tcMar>
              <w:bottom w:w="0" w:type="dxa"/>
            </w:tcMar>
            <w:vAlign w:val="center"/>
          </w:tcPr>
          <w:p>
            <w:pPr>
              <w:pStyle w:val="TableContents"/>
              <w:bidi w:val="0"/>
              <w:spacing w:before="0" w:after="0"/>
              <w:jc w:val="left"/>
              <w:rPr>
                <w:spacing w:val="4"/>
              </w:rPr>
            </w:pPr>
            <w:r>
              <w:rPr>
                <w:spacing w:val="4"/>
              </w:rPr>
              <w:t xml:space="preserve">Mineral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1,201,390</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9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Right of use asset – operating lease,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shd w:fill="CCEEFF" w:val="clear"/>
            <w:tcMar>
              <w:bottom w:w="50" w:type="dxa"/>
            </w:tcMar>
            <w:vAlign w:val="center"/>
          </w:tcPr>
          <w:p>
            <w:pPr>
              <w:pStyle w:val="TableContents"/>
              <w:bidi w:val="0"/>
              <w:spacing w:before="0" w:after="283"/>
              <w:jc w:val="right"/>
              <w:rPr/>
            </w:pPr>
            <w:r>
              <w:rPr/>
              <w:t>84,326</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913" w:type="dxa"/>
            <w:tcBorders/>
            <w:tcMar>
              <w:bottom w:w="0" w:type="dxa"/>
            </w:tcMar>
            <w:vAlign w:val="center"/>
          </w:tcPr>
          <w:p>
            <w:pPr>
              <w:pStyle w:val="TableContents"/>
              <w:bidi w:val="0"/>
              <w:spacing w:before="0" w:after="0"/>
              <w:jc w:val="left"/>
              <w:rPr/>
            </w:pPr>
            <w:r>
              <w:rPr>
                <w:spacing w:val="-4"/>
              </w:rPr>
              <w:t>Total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bottom w:val="double" w:sz="8" w:space="0" w:color="000000"/>
            </w:tcBorders>
            <w:tcMar>
              <w:bottom w:w="50" w:type="dxa"/>
            </w:tcMar>
            <w:vAlign w:val="center"/>
          </w:tcPr>
          <w:p>
            <w:pPr>
              <w:pStyle w:val="TableContents"/>
              <w:bidi w:val="0"/>
              <w:spacing w:before="0" w:after="283"/>
              <w:jc w:val="right"/>
              <w:rPr/>
            </w:pPr>
            <w:r>
              <w:rPr/>
              <w:t>$</w:t>
            </w:r>
          </w:p>
        </w:tc>
        <w:tc>
          <w:tcPr>
            <w:tcW w:w="1194" w:type="dxa"/>
            <w:tcBorders>
              <w:bottom w:val="double" w:sz="8" w:space="0" w:color="000000"/>
            </w:tcBorders>
            <w:tcMar>
              <w:bottom w:w="50" w:type="dxa"/>
            </w:tcMar>
            <w:vAlign w:val="center"/>
          </w:tcPr>
          <w:p>
            <w:pPr>
              <w:pStyle w:val="TableContents"/>
              <w:bidi w:val="0"/>
              <w:spacing w:before="0" w:after="283"/>
              <w:jc w:val="right"/>
              <w:rPr/>
            </w:pPr>
            <w:r>
              <w:rPr/>
              <w:t>2,887,962</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bottom w:val="double" w:sz="8" w:space="0" w:color="000000"/>
            </w:tcBorders>
            <w:tcMar>
              <w:bottom w:w="50" w:type="dxa"/>
            </w:tcMar>
            <w:vAlign w:val="center"/>
          </w:tcPr>
          <w:p>
            <w:pPr>
              <w:pStyle w:val="TableContents"/>
              <w:bidi w:val="0"/>
              <w:spacing w:before="0" w:after="283"/>
              <w:jc w:val="right"/>
              <w:rPr/>
            </w:pPr>
            <w:r>
              <w:rPr/>
              <w:t>$</w:t>
            </w:r>
          </w:p>
        </w:tc>
        <w:tc>
          <w:tcPr>
            <w:tcW w:w="1194" w:type="dxa"/>
            <w:tcBorders>
              <w:bottom w:val="double" w:sz="8" w:space="0" w:color="000000"/>
            </w:tcBorders>
            <w:tcMar>
              <w:bottom w:w="50" w:type="dxa"/>
            </w:tcMar>
            <w:vAlign w:val="center"/>
          </w:tcPr>
          <w:p>
            <w:pPr>
              <w:pStyle w:val="TableContents"/>
              <w:bidi w:val="0"/>
              <w:spacing w:before="0" w:after="283"/>
              <w:jc w:val="right"/>
              <w:rPr/>
            </w:pPr>
            <w:r>
              <w:rPr/>
              <w:t>1,144</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913" w:type="dxa"/>
            <w:tcBorders/>
            <w:shd w:fill="CCEEFF" w:val="clear"/>
            <w:tcMar>
              <w:bottom w:w="0" w:type="dxa"/>
            </w:tcMar>
            <w:vAlign w:val="center"/>
          </w:tcPr>
          <w:p>
            <w:pPr>
              <w:pStyle w:val="TableContents"/>
              <w:bidi w:val="0"/>
              <w:spacing w:before="0" w:after="283"/>
              <w:jc w:val="left"/>
              <w:rPr/>
            </w:pPr>
            <w:r>
              <w:rPr>
                <w:spacing w:val="-4"/>
              </w:rPr>
              <w:t>Liabilities, Mezzanine Equity, and Stockholders’ Equity (Deficit)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913" w:type="dxa"/>
            <w:tcBorders/>
            <w:tcMar>
              <w:bottom w:w="0" w:type="dxa"/>
            </w:tcMar>
            <w:vAlign w:val="center"/>
          </w:tcPr>
          <w:p>
            <w:pPr>
              <w:pStyle w:val="TableContents"/>
              <w:bidi w:val="0"/>
              <w:spacing w:before="0" w:after="283"/>
              <w:jc w:val="left"/>
              <w:rPr/>
            </w:pPr>
            <w:r>
              <w:rPr>
                <w:spacing w:val="-4"/>
              </w:rPr>
              <w:t>Current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913" w:type="dxa"/>
            <w:tcBorders/>
            <w:shd w:fill="CCEEFF" w:val="clear"/>
            <w:tcMar>
              <w:bottom w:w="0" w:type="dxa"/>
            </w:tcMar>
            <w:vAlign w:val="center"/>
          </w:tcPr>
          <w:p>
            <w:pPr>
              <w:pStyle w:val="TableContents"/>
              <w:bidi w:val="0"/>
              <w:spacing w:before="0" w:after="0"/>
              <w:jc w:val="left"/>
              <w:rPr>
                <w:spacing w:val="4"/>
              </w:rPr>
            </w:pPr>
            <w:r>
              <w:rPr>
                <w:spacing w:val="4"/>
              </w:rPr>
              <w:t xml:space="preserve">Accounts payable and accrued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530,339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106,245</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913" w:type="dxa"/>
            <w:tcBorders/>
            <w:tcMar>
              <w:bottom w:w="0" w:type="dxa"/>
            </w:tcMar>
            <w:vAlign w:val="center"/>
          </w:tcPr>
          <w:p>
            <w:pPr>
              <w:pStyle w:val="TableContents"/>
              <w:bidi w:val="0"/>
              <w:spacing w:before="0" w:after="0"/>
              <w:jc w:val="left"/>
              <w:rPr>
                <w:spacing w:val="4"/>
              </w:rPr>
            </w:pPr>
            <w:r>
              <w:rPr>
                <w:spacing w:val="4"/>
              </w:rPr>
              <w:t xml:space="preserve">Due to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280,025</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518,468</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9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Lease liability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shd w:fill="CCEEFF" w:val="clear"/>
            <w:tcMar>
              <w:bottom w:w="50" w:type="dxa"/>
            </w:tcMar>
            <w:vAlign w:val="center"/>
          </w:tcPr>
          <w:p>
            <w:pPr>
              <w:pStyle w:val="TableContents"/>
              <w:bidi w:val="0"/>
              <w:spacing w:before="0" w:after="283"/>
              <w:jc w:val="right"/>
              <w:rPr/>
            </w:pPr>
            <w:r>
              <w:rPr/>
              <w:t>33,155</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913" w:type="dxa"/>
            <w:tcBorders/>
            <w:tcMar>
              <w:bottom w:w="0" w:type="dxa"/>
            </w:tcMar>
            <w:vAlign w:val="center"/>
          </w:tcPr>
          <w:p>
            <w:pPr>
              <w:pStyle w:val="TableContents"/>
              <w:bidi w:val="0"/>
              <w:spacing w:before="0" w:after="0"/>
              <w:jc w:val="left"/>
              <w:rPr>
                <w:spacing w:val="4"/>
              </w:rPr>
            </w:pPr>
            <w:r>
              <w:rPr>
                <w:spacing w:val="4"/>
              </w:rPr>
              <w:t xml:space="preserve">Total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843,519</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624,713</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9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Lease liability – non-current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shd w:fill="CCEEFF" w:val="clear"/>
            <w:tcMar>
              <w:bottom w:w="50" w:type="dxa"/>
            </w:tcMar>
            <w:vAlign w:val="center"/>
          </w:tcPr>
          <w:p>
            <w:pPr>
              <w:pStyle w:val="TableContents"/>
              <w:bidi w:val="0"/>
              <w:spacing w:before="0" w:after="283"/>
              <w:jc w:val="right"/>
              <w:rPr/>
            </w:pPr>
            <w:r>
              <w:rPr/>
              <w:t>55,086</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913" w:type="dxa"/>
            <w:tcBorders>
              <w:bottom w:val="single" w:sz="2" w:space="0" w:color="FFFFFF"/>
            </w:tcBorders>
            <w:tcMar>
              <w:bottom w:w="50" w:type="dxa"/>
            </w:tcMar>
            <w:vAlign w:val="center"/>
          </w:tcPr>
          <w:p>
            <w:pPr>
              <w:pStyle w:val="TableContents"/>
              <w:bidi w:val="0"/>
              <w:spacing w:before="0" w:after="0"/>
              <w:jc w:val="left"/>
              <w:rPr/>
            </w:pPr>
            <w:r>
              <w:rPr>
                <w:spacing w:val="-4"/>
              </w:rPr>
              <w:t>Total liabilities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233" w:type="dxa"/>
            <w:tcBorders>
              <w:bottom w:val="single" w:sz="2" w:space="0" w:color="000000"/>
            </w:tcBorders>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tcMar>
              <w:bottom w:w="50" w:type="dxa"/>
            </w:tcMar>
            <w:vAlign w:val="center"/>
          </w:tcPr>
          <w:p>
            <w:pPr>
              <w:pStyle w:val="TableContents"/>
              <w:bidi w:val="0"/>
              <w:spacing w:before="0" w:after="283"/>
              <w:jc w:val="right"/>
              <w:rPr/>
            </w:pPr>
            <w:r>
              <w:rPr/>
              <w:t>898,605</w:t>
            </w:r>
          </w:p>
        </w:tc>
        <w:tc>
          <w:tcPr>
            <w:tcW w:w="1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233" w:type="dxa"/>
            <w:tcBorders>
              <w:bottom w:val="single" w:sz="2" w:space="0" w:color="000000"/>
            </w:tcBorders>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tcMar>
              <w:bottom w:w="50" w:type="dxa"/>
            </w:tcMar>
            <w:vAlign w:val="center"/>
          </w:tcPr>
          <w:p>
            <w:pPr>
              <w:pStyle w:val="TableContents"/>
              <w:bidi w:val="0"/>
              <w:spacing w:before="0" w:after="283"/>
              <w:jc w:val="right"/>
              <w:rPr/>
            </w:pPr>
            <w:r>
              <w:rPr/>
              <w:t>624,713</w:t>
            </w:r>
          </w:p>
        </w:tc>
        <w:tc>
          <w:tcPr>
            <w:tcW w:w="112" w:type="dxa"/>
            <w:tcBorders>
              <w:bottom w:val="single" w:sz="2" w:space="0" w:color="FFFFFF"/>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4913" w:type="dxa"/>
            <w:tcBorders/>
            <w:shd w:fill="CCEEFF" w:val="clear"/>
            <w:tcMar>
              <w:bottom w:w="0" w:type="dxa"/>
            </w:tcMar>
            <w:vAlign w:val="center"/>
          </w:tcPr>
          <w:p>
            <w:pPr>
              <w:pStyle w:val="TableContents"/>
              <w:bidi w:val="0"/>
              <w:spacing w:before="0" w:after="283"/>
              <w:jc w:val="left"/>
              <w:rPr/>
            </w:pPr>
            <w:r>
              <w:rPr>
                <w:spacing w:val="-4"/>
              </w:rPr>
              <w:t>Commitments and contingencies (Note 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913" w:type="dxa"/>
            <w:tcBorders/>
            <w:tcMar>
              <w:bottom w:w="0" w:type="dxa"/>
            </w:tcMar>
            <w:vAlign w:val="center"/>
          </w:tcPr>
          <w:p>
            <w:pPr>
              <w:pStyle w:val="TableContents"/>
              <w:bidi w:val="0"/>
              <w:spacing w:before="0" w:after="283"/>
              <w:jc w:val="left"/>
              <w:rPr/>
            </w:pPr>
            <w:r>
              <w:rPr>
                <w:spacing w:val="-4"/>
              </w:rPr>
              <w:t>Mezzanine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913"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Redeemable common stock, $0.0001 par value, 350,000,000 shares authorized; 15,951,675 shares issued and subject to possible redemption at $0.02 per share as of November 30, 2025 (none as of November 30,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300,000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913" w:type="dxa"/>
            <w:tcBorders/>
            <w:tcMar>
              <w:bottom w:w="0" w:type="dxa"/>
            </w:tcMar>
            <w:vAlign w:val="center"/>
          </w:tcPr>
          <w:p>
            <w:pPr>
              <w:pStyle w:val="TableContents"/>
              <w:bidi w:val="0"/>
              <w:spacing w:before="0" w:after="283"/>
              <w:jc w:val="left"/>
              <w:rPr/>
            </w:pPr>
            <w:r>
              <w:rPr>
                <w:spacing w:val="-4"/>
              </w:rPr>
              <w:t>Stockholders’ equity (deficit)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913"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Preferred stock, $0.0001 par value, 50,000,000 shares authorized; none issued and outstanding as of November 30, 2025 and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913" w:type="dxa"/>
            <w:tcBorders/>
            <w:tcMar>
              <w:bottom w:w="0" w:type="dxa"/>
            </w:tcMar>
            <w:vAlign w:val="center"/>
          </w:tcPr>
          <w:p>
            <w:pPr>
              <w:pStyle w:val="TableContents"/>
              <w:bidi w:val="0"/>
              <w:spacing w:before="0" w:after="0"/>
              <w:ind w:left="200" w:right="0" w:hanging="200"/>
              <w:jc w:val="left"/>
              <w:rPr>
                <w:spacing w:val="4"/>
              </w:rPr>
            </w:pPr>
            <w:r>
              <w:rPr>
                <w:spacing w:val="4"/>
              </w:rPr>
              <w:t xml:space="preserve">Common stock, $0.0001 par value, 350,000,000 shares authorized; 110,211,574 shares issued and outstanding, excluding 15,951,675 shares subject to possible redemption, as of November 30, 2025 (96,000,040 shares as of November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11,020</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9,600</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913" w:type="dxa"/>
            <w:tcBorders/>
            <w:shd w:fill="CCEEFF" w:val="clear"/>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7,959,026</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219,138</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913" w:type="dxa"/>
            <w:tcBorders/>
            <w:tcMar>
              <w:bottom w:w="0" w:type="dxa"/>
            </w:tcMar>
            <w:vAlign w:val="center"/>
          </w:tcPr>
          <w:p>
            <w:pPr>
              <w:pStyle w:val="TableContents"/>
              <w:bidi w:val="0"/>
              <w:spacing w:before="0" w:after="0"/>
              <w:jc w:val="left"/>
              <w:rPr>
                <w:spacing w:val="4"/>
              </w:rPr>
            </w:pPr>
            <w:r>
              <w:rPr>
                <w:spacing w:val="4"/>
              </w:rPr>
              <w:t xml:space="preserve">Obligation to issue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167,750</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9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Accumulated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shd w:fill="CCEEFF" w:val="clear"/>
            <w:tcMar>
              <w:bottom w:w="50" w:type="dxa"/>
            </w:tcMar>
            <w:vAlign w:val="center"/>
          </w:tcPr>
          <w:p>
            <w:pPr>
              <w:pStyle w:val="TableContents"/>
              <w:bidi w:val="0"/>
              <w:spacing w:before="0" w:after="283"/>
              <w:jc w:val="right"/>
              <w:rPr/>
            </w:pPr>
            <w:r>
              <w:rPr/>
              <w:t>(6,280,689)</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shd w:fill="CCEEFF" w:val="clear"/>
            <w:tcMar>
              <w:bottom w:w="50" w:type="dxa"/>
            </w:tcMar>
            <w:vAlign w:val="center"/>
          </w:tcPr>
          <w:p>
            <w:pPr>
              <w:pStyle w:val="TableContents"/>
              <w:bidi w:val="0"/>
              <w:spacing w:before="0" w:after="283"/>
              <w:jc w:val="right"/>
              <w:rPr/>
            </w:pPr>
            <w:r>
              <w:rPr/>
              <w:t>(1,020,057)</w:t>
            </w:r>
          </w:p>
        </w:tc>
        <w:tc>
          <w:tcPr>
            <w:tcW w:w="112"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913" w:type="dxa"/>
            <w:tcBorders>
              <w:bottom w:val="single" w:sz="2" w:space="0" w:color="FFFFFF"/>
            </w:tcBorders>
            <w:tcMar>
              <w:bottom w:w="50" w:type="dxa"/>
            </w:tcMar>
            <w:vAlign w:val="center"/>
          </w:tcPr>
          <w:p>
            <w:pPr>
              <w:pStyle w:val="TableContents"/>
              <w:bidi w:val="0"/>
              <w:spacing w:before="0" w:after="0"/>
              <w:jc w:val="left"/>
              <w:rPr/>
            </w:pPr>
            <w:r>
              <w:rPr>
                <w:spacing w:val="-4"/>
              </w:rPr>
              <w:t>Total stockholders’ equity (deficit)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233" w:type="dxa"/>
            <w:tcBorders>
              <w:bottom w:val="single" w:sz="2" w:space="0" w:color="000000"/>
            </w:tcBorders>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tcMar>
              <w:bottom w:w="50" w:type="dxa"/>
            </w:tcMar>
            <w:vAlign w:val="center"/>
          </w:tcPr>
          <w:p>
            <w:pPr>
              <w:pStyle w:val="TableContents"/>
              <w:bidi w:val="0"/>
              <w:spacing w:before="0" w:after="283"/>
              <w:jc w:val="right"/>
              <w:rPr/>
            </w:pPr>
            <w:r>
              <w:rPr/>
              <w:t>1,689,357</w:t>
            </w:r>
          </w:p>
        </w:tc>
        <w:tc>
          <w:tcPr>
            <w:tcW w:w="1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233" w:type="dxa"/>
            <w:tcBorders>
              <w:bottom w:val="single" w:sz="2" w:space="0" w:color="000000"/>
            </w:tcBorders>
            <w:tcMar>
              <w:bottom w:w="50" w:type="dxa"/>
            </w:tcMar>
            <w:vAlign w:val="center"/>
          </w:tcPr>
          <w:p>
            <w:pPr>
              <w:pStyle w:val="TableContents"/>
              <w:bidi w:val="0"/>
              <w:spacing w:before="0" w:after="283"/>
              <w:jc w:val="right"/>
              <w:rPr/>
            </w:pPr>
            <w:r>
              <w:rPr/>
              <w:t>​</w:t>
            </w:r>
          </w:p>
        </w:tc>
        <w:tc>
          <w:tcPr>
            <w:tcW w:w="1194" w:type="dxa"/>
            <w:tcBorders>
              <w:bottom w:val="single" w:sz="2" w:space="0" w:color="000000"/>
            </w:tcBorders>
            <w:tcMar>
              <w:bottom w:w="50" w:type="dxa"/>
            </w:tcMar>
            <w:vAlign w:val="center"/>
          </w:tcPr>
          <w:p>
            <w:pPr>
              <w:pStyle w:val="TableContents"/>
              <w:bidi w:val="0"/>
              <w:spacing w:before="0" w:after="283"/>
              <w:jc w:val="right"/>
              <w:rPr/>
            </w:pPr>
            <w:r>
              <w:rPr/>
              <w:t>(623,569)</w:t>
            </w:r>
          </w:p>
        </w:tc>
        <w:tc>
          <w:tcPr>
            <w:tcW w:w="112" w:type="dxa"/>
            <w:tcBorders>
              <w:bottom w:val="single" w:sz="2" w:space="0" w:color="FFFFFF"/>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4913" w:type="dxa"/>
            <w:tcBorders/>
            <w:shd w:fill="CCEEFF" w:val="clear"/>
            <w:tcMar>
              <w:bottom w:w="0" w:type="dxa"/>
            </w:tcMar>
            <w:vAlign w:val="center"/>
          </w:tcPr>
          <w:p>
            <w:pPr>
              <w:pStyle w:val="TableContents"/>
              <w:bidi w:val="0"/>
              <w:spacing w:before="0" w:after="0"/>
              <w:jc w:val="left"/>
              <w:rPr/>
            </w:pPr>
            <w:r>
              <w:rPr>
                <w:spacing w:val="-4"/>
              </w:rPr>
              <w:t>Total liabilities, mezzanine equity and stockholders’ equity (deficit)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94" w:type="dxa"/>
            <w:tcBorders>
              <w:bottom w:val="double" w:sz="8" w:space="0" w:color="000000"/>
            </w:tcBorders>
            <w:shd w:fill="CCEEFF" w:val="clear"/>
            <w:tcMar>
              <w:bottom w:w="50" w:type="dxa"/>
            </w:tcMar>
            <w:vAlign w:val="center"/>
          </w:tcPr>
          <w:p>
            <w:pPr>
              <w:pStyle w:val="TableContents"/>
              <w:bidi w:val="0"/>
              <w:spacing w:before="0" w:after="283"/>
              <w:jc w:val="right"/>
              <w:rPr/>
            </w:pPr>
            <w:r>
              <w:rPr/>
              <w:t>2,887,962</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94" w:type="dxa"/>
            <w:tcBorders>
              <w:bottom w:val="double" w:sz="8" w:space="0" w:color="000000"/>
            </w:tcBorders>
            <w:shd w:fill="CCEEFF" w:val="clear"/>
            <w:tcMar>
              <w:bottom w:w="50" w:type="dxa"/>
            </w:tcMar>
            <w:vAlign w:val="center"/>
          </w:tcPr>
          <w:p>
            <w:pPr>
              <w:pStyle w:val="TableContents"/>
              <w:bidi w:val="0"/>
              <w:spacing w:before="0" w:after="283"/>
              <w:jc w:val="right"/>
              <w:rPr/>
            </w:pPr>
            <w:r>
              <w:rPr/>
              <w:t>1,144</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fEEMC1"/>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STATEMENT OF OPERATIONS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539"/>
        <w:gridCol w:w="109"/>
        <w:gridCol w:w="109"/>
        <w:gridCol w:w="116"/>
        <w:gridCol w:w="241"/>
        <w:gridCol w:w="1399"/>
        <w:gridCol w:w="116"/>
        <w:gridCol w:w="109"/>
        <w:gridCol w:w="109"/>
        <w:gridCol w:w="119"/>
        <w:gridCol w:w="248"/>
        <w:gridCol w:w="1320"/>
        <w:gridCol w:w="119"/>
        <w:gridCol w:w="159"/>
      </w:tblGrid>
      <w:tr>
        <w:trPr/>
        <w:tc>
          <w:tcPr>
            <w:tcW w:w="45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7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For the year ended </w:t>
            </w:r>
            <w:r>
              <w:rPr/>
              <w:br/>
            </w:r>
            <w:r>
              <w:rPr>
                <w:spacing w:val="-3"/>
              </w:rPr>
              <w:t xml:space="preserve">November 30,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For the period from </w:t>
            </w:r>
            <w:r>
              <w:rPr/>
              <w:br/>
            </w:r>
            <w:r>
              <w:rPr>
                <w:spacing w:val="-3"/>
              </w:rPr>
              <w:t xml:space="preserve">December 14, 2023 </w:t>
            </w:r>
            <w:r>
              <w:rPr/>
              <w:br/>
            </w:r>
            <w:r>
              <w:rPr>
                <w:spacing w:val="-3"/>
              </w:rPr>
              <w:t xml:space="preserve">(Inception) through </w:t>
            </w:r>
            <w:r>
              <w:rPr/>
              <w:br/>
            </w:r>
            <w:r>
              <w:rPr>
                <w:spacing w:val="-3"/>
              </w:rPr>
              <w:t xml:space="preserve">November 30, 2024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539" w:type="dxa"/>
            <w:tcBorders/>
            <w:shd w:fill="CCEEFF" w:val="clear"/>
            <w:tcMar>
              <w:bottom w:w="0" w:type="dxa"/>
            </w:tcMar>
            <w:vAlign w:val="center"/>
          </w:tcPr>
          <w:p>
            <w:pPr>
              <w:pStyle w:val="TableContents"/>
              <w:bidi w:val="0"/>
              <w:spacing w:before="0" w:after="283"/>
              <w:jc w:val="left"/>
              <w:rPr/>
            </w:pPr>
            <w:r>
              <w:rPr>
                <w:spacing w:val="-4"/>
              </w:rPr>
              <w:t>Operating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399"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0"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39" w:type="dxa"/>
            <w:tcBorders/>
            <w:tcMar>
              <w:bottom w:w="0" w:type="dxa"/>
            </w:tcMar>
            <w:vAlign w:val="center"/>
          </w:tcPr>
          <w:p>
            <w:pPr>
              <w:pStyle w:val="TableContents"/>
              <w:bidi w:val="0"/>
              <w:spacing w:before="0" w:after="0"/>
              <w:ind w:left="200" w:right="0" w:hanging="0"/>
              <w:jc w:val="left"/>
              <w:rPr>
                <w:spacing w:val="4"/>
              </w:rPr>
            </w:pPr>
            <w:r>
              <w:rPr>
                <w:spacing w:val="4"/>
              </w:rPr>
              <w:t xml:space="preserve">Bank charges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1399" w:type="dxa"/>
            <w:tcBorders/>
            <w:tcMar>
              <w:bottom w:w="0" w:type="dxa"/>
            </w:tcMar>
            <w:vAlign w:val="center"/>
          </w:tcPr>
          <w:p>
            <w:pPr>
              <w:pStyle w:val="TableContents"/>
              <w:bidi w:val="0"/>
              <w:spacing w:before="0" w:after="283"/>
              <w:jc w:val="right"/>
              <w:rPr/>
            </w:pPr>
            <w:r>
              <w:rPr/>
              <w:t>4,184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1320" w:type="dxa"/>
            <w:tcBorders/>
            <w:tcMar>
              <w:bottom w:w="0" w:type="dxa"/>
            </w:tcMar>
            <w:vAlign w:val="center"/>
          </w:tcPr>
          <w:p>
            <w:pPr>
              <w:pStyle w:val="TableContents"/>
              <w:bidi w:val="0"/>
              <w:spacing w:before="0" w:after="283"/>
              <w:jc w:val="right"/>
              <w:rPr/>
            </w:pPr>
            <w:r>
              <w:rPr/>
              <w:t>389</w:t>
            </w:r>
          </w:p>
        </w:tc>
        <w:tc>
          <w:tcPr>
            <w:tcW w:w="11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3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Business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399" w:type="dxa"/>
            <w:tcBorders/>
            <w:shd w:fill="CCEEFF" w:val="clear"/>
            <w:tcMar>
              <w:bottom w:w="0" w:type="dxa"/>
            </w:tcMar>
            <w:vAlign w:val="center"/>
          </w:tcPr>
          <w:p>
            <w:pPr>
              <w:pStyle w:val="TableContents"/>
              <w:bidi w:val="0"/>
              <w:spacing w:before="0" w:after="283"/>
              <w:jc w:val="right"/>
              <w:rPr/>
            </w:pPr>
            <w:r>
              <w:rPr/>
              <w:t>116,742</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0"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39" w:type="dxa"/>
            <w:tcBorders/>
            <w:tcMar>
              <w:bottom w:w="0" w:type="dxa"/>
            </w:tcMar>
            <w:vAlign w:val="center"/>
          </w:tcPr>
          <w:p>
            <w:pPr>
              <w:pStyle w:val="TableContents"/>
              <w:bidi w:val="0"/>
              <w:spacing w:before="0" w:after="0"/>
              <w:ind w:left="200" w:right="0" w:hanging="0"/>
              <w:jc w:val="left"/>
              <w:rPr>
                <w:spacing w:val="4"/>
              </w:rPr>
            </w:pPr>
            <w:r>
              <w:rPr>
                <w:spacing w:val="4"/>
              </w:rPr>
              <w:t xml:space="preserve">Amortization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1399" w:type="dxa"/>
            <w:tcBorders/>
            <w:tcMar>
              <w:bottom w:w="0" w:type="dxa"/>
            </w:tcMar>
            <w:vAlign w:val="center"/>
          </w:tcPr>
          <w:p>
            <w:pPr>
              <w:pStyle w:val="TableContents"/>
              <w:bidi w:val="0"/>
              <w:spacing w:before="0" w:after="283"/>
              <w:jc w:val="right"/>
              <w:rPr/>
            </w:pPr>
            <w:r>
              <w:rPr/>
              <w:t>1,515</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1320"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3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Mineral rights development expenditures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399" w:type="dxa"/>
            <w:tcBorders/>
            <w:shd w:fill="CCEEFF" w:val="clear"/>
            <w:tcMar>
              <w:bottom w:w="0" w:type="dxa"/>
            </w:tcMar>
            <w:vAlign w:val="center"/>
          </w:tcPr>
          <w:p>
            <w:pPr>
              <w:pStyle w:val="TableContents"/>
              <w:bidi w:val="0"/>
              <w:spacing w:before="0" w:after="283"/>
              <w:jc w:val="right"/>
              <w:rPr/>
            </w:pPr>
            <w:r>
              <w:rPr/>
              <w:t>314,013</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0"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39" w:type="dxa"/>
            <w:tcBorders/>
            <w:tcMar>
              <w:bottom w:w="0" w:type="dxa"/>
            </w:tcMar>
            <w:vAlign w:val="center"/>
          </w:tcPr>
          <w:p>
            <w:pPr>
              <w:pStyle w:val="TableContents"/>
              <w:bidi w:val="0"/>
              <w:spacing w:before="0" w:after="0"/>
              <w:ind w:left="200" w:right="0" w:hanging="0"/>
              <w:jc w:val="left"/>
              <w:rPr>
                <w:spacing w:val="4"/>
              </w:rPr>
            </w:pPr>
            <w:r>
              <w:rPr>
                <w:spacing w:val="4"/>
              </w:rPr>
              <w:t xml:space="preserve">Office and administrative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1399" w:type="dxa"/>
            <w:tcBorders/>
            <w:tcMar>
              <w:bottom w:w="0" w:type="dxa"/>
            </w:tcMar>
            <w:vAlign w:val="center"/>
          </w:tcPr>
          <w:p>
            <w:pPr>
              <w:pStyle w:val="TableContents"/>
              <w:bidi w:val="0"/>
              <w:spacing w:before="0" w:after="283"/>
              <w:jc w:val="right"/>
              <w:rPr/>
            </w:pPr>
            <w:r>
              <w:rPr/>
              <w:t>895,430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1320" w:type="dxa"/>
            <w:tcBorders/>
            <w:tcMar>
              <w:bottom w:w="0" w:type="dxa"/>
            </w:tcMar>
            <w:vAlign w:val="center"/>
          </w:tcPr>
          <w:p>
            <w:pPr>
              <w:pStyle w:val="TableContents"/>
              <w:bidi w:val="0"/>
              <w:spacing w:before="0" w:after="283"/>
              <w:jc w:val="right"/>
              <w:rPr/>
            </w:pPr>
            <w:r>
              <w:rPr/>
              <w:t>41,027</w:t>
            </w:r>
          </w:p>
        </w:tc>
        <w:tc>
          <w:tcPr>
            <w:tcW w:w="11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3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Professional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399" w:type="dxa"/>
            <w:tcBorders/>
            <w:shd w:fill="CCEEFF" w:val="clear"/>
            <w:tcMar>
              <w:bottom w:w="0" w:type="dxa"/>
            </w:tcMar>
            <w:vAlign w:val="center"/>
          </w:tcPr>
          <w:p>
            <w:pPr>
              <w:pStyle w:val="TableContents"/>
              <w:bidi w:val="0"/>
              <w:spacing w:before="0" w:after="283"/>
              <w:jc w:val="right"/>
              <w:rPr/>
            </w:pPr>
            <w:r>
              <w:rPr/>
              <w:t>3,075,312</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0" w:type="dxa"/>
            <w:tcBorders/>
            <w:shd w:fill="CCEEFF" w:val="clear"/>
            <w:tcMar>
              <w:bottom w:w="0" w:type="dxa"/>
            </w:tcMar>
            <w:vAlign w:val="center"/>
          </w:tcPr>
          <w:p>
            <w:pPr>
              <w:pStyle w:val="TableContents"/>
              <w:bidi w:val="0"/>
              <w:spacing w:before="0" w:after="283"/>
              <w:jc w:val="right"/>
              <w:rPr/>
            </w:pPr>
            <w:r>
              <w:rPr/>
              <w:t>758,143</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39" w:type="dxa"/>
            <w:tcBorders/>
            <w:tcMar>
              <w:bottom w:w="0" w:type="dxa"/>
            </w:tcMar>
            <w:vAlign w:val="center"/>
          </w:tcPr>
          <w:p>
            <w:pPr>
              <w:pStyle w:val="TableContents"/>
              <w:bidi w:val="0"/>
              <w:spacing w:before="0" w:after="0"/>
              <w:ind w:left="200" w:right="0" w:hanging="0"/>
              <w:jc w:val="left"/>
              <w:rPr>
                <w:spacing w:val="4"/>
              </w:rPr>
            </w:pPr>
            <w:r>
              <w:rPr>
                <w:spacing w:val="4"/>
              </w:rPr>
              <w:t xml:space="preserve">Rent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1399" w:type="dxa"/>
            <w:tcBorders/>
            <w:tcMar>
              <w:bottom w:w="0" w:type="dxa"/>
            </w:tcMar>
            <w:vAlign w:val="center"/>
          </w:tcPr>
          <w:p>
            <w:pPr>
              <w:pStyle w:val="TableContents"/>
              <w:bidi w:val="0"/>
              <w:spacing w:before="0" w:after="283"/>
              <w:jc w:val="right"/>
              <w:rPr/>
            </w:pPr>
            <w:r>
              <w:rPr/>
              <w:t>123,554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1320" w:type="dxa"/>
            <w:tcBorders/>
            <w:tcMar>
              <w:bottom w:w="0" w:type="dxa"/>
            </w:tcMar>
            <w:vAlign w:val="center"/>
          </w:tcPr>
          <w:p>
            <w:pPr>
              <w:pStyle w:val="TableContents"/>
              <w:bidi w:val="0"/>
              <w:spacing w:before="0" w:after="283"/>
              <w:jc w:val="right"/>
              <w:rPr/>
            </w:pPr>
            <w:r>
              <w:rPr/>
              <w:t>27,589</w:t>
            </w:r>
          </w:p>
        </w:tc>
        <w:tc>
          <w:tcPr>
            <w:tcW w:w="11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3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Investor relations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399" w:type="dxa"/>
            <w:tcBorders/>
            <w:shd w:fill="CCEEFF" w:val="clear"/>
            <w:tcMar>
              <w:bottom w:w="0" w:type="dxa"/>
            </w:tcMar>
            <w:vAlign w:val="center"/>
          </w:tcPr>
          <w:p>
            <w:pPr>
              <w:pStyle w:val="TableContents"/>
              <w:bidi w:val="0"/>
              <w:spacing w:before="0" w:after="283"/>
              <w:jc w:val="right"/>
              <w:rPr/>
            </w:pPr>
            <w:r>
              <w:rPr/>
              <w:t>120,000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0"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39" w:type="dxa"/>
            <w:tcBorders/>
            <w:tcMar>
              <w:bottom w:w="0" w:type="dxa"/>
            </w:tcMar>
            <w:vAlign w:val="center"/>
          </w:tcPr>
          <w:p>
            <w:pPr>
              <w:pStyle w:val="TableContents"/>
              <w:bidi w:val="0"/>
              <w:spacing w:before="0" w:after="0"/>
              <w:ind w:left="200" w:right="0" w:hanging="0"/>
              <w:jc w:val="left"/>
              <w:rPr>
                <w:spacing w:val="4"/>
              </w:rPr>
            </w:pPr>
            <w:r>
              <w:rPr>
                <w:spacing w:val="4"/>
              </w:rPr>
              <w:t xml:space="preserve">Salaries and wages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1399" w:type="dxa"/>
            <w:tcBorders/>
            <w:tcMar>
              <w:bottom w:w="0" w:type="dxa"/>
            </w:tcMar>
            <w:vAlign w:val="center"/>
          </w:tcPr>
          <w:p>
            <w:pPr>
              <w:pStyle w:val="TableContents"/>
              <w:bidi w:val="0"/>
              <w:spacing w:before="0" w:after="283"/>
              <w:jc w:val="right"/>
              <w:rPr/>
            </w:pPr>
            <w:r>
              <w:rPr/>
              <w:t>18,151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1320"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3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Licensing fee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399" w:type="dxa"/>
            <w:tcBorders/>
            <w:shd w:fill="CCEEFF" w:val="clear"/>
            <w:tcMar>
              <w:bottom w:w="0" w:type="dxa"/>
            </w:tcMar>
            <w:vAlign w:val="center"/>
          </w:tcPr>
          <w:p>
            <w:pPr>
              <w:pStyle w:val="TableContents"/>
              <w:bidi w:val="0"/>
              <w:spacing w:before="0" w:after="283"/>
              <w:jc w:val="right"/>
              <w:rPr/>
            </w:pPr>
            <w:r>
              <w:rPr/>
              <w:t>29,436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0"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39"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Travel and entertainment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41" w:type="dxa"/>
            <w:tcBorders>
              <w:bottom w:val="single" w:sz="2" w:space="0" w:color="000000"/>
            </w:tcBorders>
            <w:tcMar>
              <w:bottom w:w="50" w:type="dxa"/>
            </w:tcMar>
            <w:vAlign w:val="center"/>
          </w:tcPr>
          <w:p>
            <w:pPr>
              <w:pStyle w:val="TableContents"/>
              <w:bidi w:val="0"/>
              <w:spacing w:before="0" w:after="283"/>
              <w:jc w:val="right"/>
              <w:rPr/>
            </w:pPr>
            <w:r>
              <w:rPr/>
              <w:t>​</w:t>
            </w:r>
          </w:p>
        </w:tc>
        <w:tc>
          <w:tcPr>
            <w:tcW w:w="1399" w:type="dxa"/>
            <w:tcBorders>
              <w:bottom w:val="single" w:sz="2" w:space="0" w:color="000000"/>
            </w:tcBorders>
            <w:tcMar>
              <w:bottom w:w="50" w:type="dxa"/>
            </w:tcMar>
            <w:vAlign w:val="center"/>
          </w:tcPr>
          <w:p>
            <w:pPr>
              <w:pStyle w:val="TableContents"/>
              <w:bidi w:val="0"/>
              <w:spacing w:before="0" w:after="283"/>
              <w:jc w:val="right"/>
              <w:rPr/>
            </w:pPr>
            <w:r>
              <w:rPr/>
              <w:t>549,177</w:t>
            </w:r>
          </w:p>
        </w:tc>
        <w:tc>
          <w:tcPr>
            <w:tcW w:w="1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1320" w:type="dxa"/>
            <w:tcBorders>
              <w:bottom w:val="single" w:sz="2" w:space="0" w:color="000000"/>
            </w:tcBorders>
            <w:tcMar>
              <w:bottom w:w="50" w:type="dxa"/>
            </w:tcMar>
            <w:vAlign w:val="center"/>
          </w:tcPr>
          <w:p>
            <w:pPr>
              <w:pStyle w:val="TableContents"/>
              <w:bidi w:val="0"/>
              <w:spacing w:before="0" w:after="283"/>
              <w:jc w:val="right"/>
              <w:rPr/>
            </w:pPr>
            <w:r>
              <w:rPr/>
              <w:t>123,483</w:t>
            </w:r>
          </w:p>
        </w:tc>
        <w:tc>
          <w:tcPr>
            <w:tcW w:w="119"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539"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operating expenses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99" w:type="dxa"/>
            <w:tcBorders>
              <w:bottom w:val="single" w:sz="2" w:space="0" w:color="000000"/>
            </w:tcBorders>
            <w:shd w:fill="CCEEFF" w:val="clear"/>
            <w:tcMar>
              <w:bottom w:w="50" w:type="dxa"/>
            </w:tcMar>
            <w:vAlign w:val="center"/>
          </w:tcPr>
          <w:p>
            <w:pPr>
              <w:pStyle w:val="TableContents"/>
              <w:bidi w:val="0"/>
              <w:spacing w:before="0" w:after="283"/>
              <w:jc w:val="right"/>
              <w:rPr/>
            </w:pPr>
            <w:r>
              <w:rPr/>
              <w:t>(5,247,514)</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0" w:type="dxa"/>
            <w:tcBorders>
              <w:bottom w:val="single" w:sz="2" w:space="0" w:color="000000"/>
            </w:tcBorders>
            <w:shd w:fill="CCEEFF" w:val="clear"/>
            <w:tcMar>
              <w:bottom w:w="50" w:type="dxa"/>
            </w:tcMar>
            <w:vAlign w:val="center"/>
          </w:tcPr>
          <w:p>
            <w:pPr>
              <w:pStyle w:val="TableContents"/>
              <w:bidi w:val="0"/>
              <w:spacing w:before="0" w:after="283"/>
              <w:jc w:val="right"/>
              <w:rPr/>
            </w:pPr>
            <w:r>
              <w:rPr/>
              <w:t>(950,631)</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39" w:type="dxa"/>
            <w:tcBorders/>
            <w:tcMar>
              <w:bottom w:w="0" w:type="dxa"/>
            </w:tcMar>
            <w:vAlign w:val="center"/>
          </w:tcPr>
          <w:p>
            <w:pPr>
              <w:pStyle w:val="TableContents"/>
              <w:bidi w:val="0"/>
              <w:spacing w:before="0" w:after="283"/>
              <w:jc w:val="left"/>
              <w:rPr/>
            </w:pPr>
            <w:r>
              <w:rPr>
                <w:spacing w:val="-4"/>
              </w:rPr>
              <w:t>Other income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1399"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1320"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3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Loss on impairment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399"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1320" w:type="dxa"/>
            <w:tcBorders/>
            <w:shd w:fill="CCEEFF" w:val="clear"/>
            <w:tcMar>
              <w:bottom w:w="0" w:type="dxa"/>
            </w:tcMar>
            <w:vAlign w:val="center"/>
          </w:tcPr>
          <w:p>
            <w:pPr>
              <w:pStyle w:val="TableContents"/>
              <w:bidi w:val="0"/>
              <w:spacing w:before="0" w:after="283"/>
              <w:jc w:val="right"/>
              <w:rPr/>
            </w:pPr>
            <w:r>
              <w:rPr/>
              <w:t>(70,000)</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39"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Gain (loss) on foreign currency transactions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41" w:type="dxa"/>
            <w:tcBorders>
              <w:bottom w:val="single" w:sz="2" w:space="0" w:color="000000"/>
            </w:tcBorders>
            <w:tcMar>
              <w:bottom w:w="50" w:type="dxa"/>
            </w:tcMar>
            <w:vAlign w:val="center"/>
          </w:tcPr>
          <w:p>
            <w:pPr>
              <w:pStyle w:val="TableContents"/>
              <w:bidi w:val="0"/>
              <w:spacing w:before="0" w:after="283"/>
              <w:jc w:val="right"/>
              <w:rPr/>
            </w:pPr>
            <w:r>
              <w:rPr/>
              <w:t>​</w:t>
            </w:r>
          </w:p>
        </w:tc>
        <w:tc>
          <w:tcPr>
            <w:tcW w:w="1399" w:type="dxa"/>
            <w:tcBorders>
              <w:bottom w:val="single" w:sz="2" w:space="0" w:color="000000"/>
            </w:tcBorders>
            <w:tcMar>
              <w:bottom w:w="50" w:type="dxa"/>
            </w:tcMar>
            <w:vAlign w:val="center"/>
          </w:tcPr>
          <w:p>
            <w:pPr>
              <w:pStyle w:val="TableContents"/>
              <w:bidi w:val="0"/>
              <w:spacing w:before="0" w:after="283"/>
              <w:jc w:val="right"/>
              <w:rPr/>
            </w:pPr>
            <w:r>
              <w:rPr/>
              <w:t>(13,118)</w:t>
            </w:r>
          </w:p>
        </w:tc>
        <w:tc>
          <w:tcPr>
            <w:tcW w:w="1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1320" w:type="dxa"/>
            <w:tcBorders>
              <w:bottom w:val="single" w:sz="2" w:space="0" w:color="000000"/>
            </w:tcBorders>
            <w:tcMar>
              <w:bottom w:w="50" w:type="dxa"/>
            </w:tcMar>
            <w:vAlign w:val="center"/>
          </w:tcPr>
          <w:p>
            <w:pPr>
              <w:pStyle w:val="TableContents"/>
              <w:bidi w:val="0"/>
              <w:spacing w:before="0" w:after="283"/>
              <w:jc w:val="right"/>
              <w:rPr/>
            </w:pPr>
            <w:r>
              <w:rPr/>
              <w:t>574</w:t>
            </w:r>
          </w:p>
        </w:tc>
        <w:tc>
          <w:tcPr>
            <w:tcW w:w="119"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539"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Total other expense</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99" w:type="dxa"/>
            <w:tcBorders>
              <w:bottom w:val="single" w:sz="2" w:space="0" w:color="000000"/>
            </w:tcBorders>
            <w:shd w:fill="CCEEFF" w:val="clear"/>
            <w:tcMar>
              <w:bottom w:w="50" w:type="dxa"/>
            </w:tcMar>
            <w:vAlign w:val="center"/>
          </w:tcPr>
          <w:p>
            <w:pPr>
              <w:pStyle w:val="TableContents"/>
              <w:bidi w:val="0"/>
              <w:spacing w:before="0" w:after="283"/>
              <w:jc w:val="right"/>
              <w:rPr/>
            </w:pPr>
            <w:r>
              <w:rPr/>
              <w:t>(13,118)</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0" w:type="dxa"/>
            <w:tcBorders>
              <w:bottom w:val="single" w:sz="2" w:space="0" w:color="000000"/>
            </w:tcBorders>
            <w:shd w:fill="CCEEFF" w:val="clear"/>
            <w:tcMar>
              <w:bottom w:w="50" w:type="dxa"/>
            </w:tcMar>
            <w:vAlign w:val="center"/>
          </w:tcPr>
          <w:p>
            <w:pPr>
              <w:pStyle w:val="TableContents"/>
              <w:bidi w:val="0"/>
              <w:spacing w:before="0" w:after="283"/>
              <w:jc w:val="right"/>
              <w:rPr/>
            </w:pPr>
            <w:r>
              <w:rPr/>
              <w:t>(69,426)</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39" w:type="dxa"/>
            <w:tcBorders/>
            <w:tcMar>
              <w:bottom w:w="0" w:type="dxa"/>
            </w:tcMar>
            <w:vAlign w:val="center"/>
          </w:tcPr>
          <w:p>
            <w:pPr>
              <w:pStyle w:val="TableContents"/>
              <w:bidi w:val="0"/>
              <w:spacing w:before="0" w:after="0"/>
              <w:jc w:val="left"/>
              <w:rPr/>
            </w:pPr>
            <w:r>
              <w:rPr>
                <w:spacing w:val="-4"/>
              </w:rPr>
              <w:t>Net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bottom w:val="double" w:sz="8" w:space="0" w:color="000000"/>
            </w:tcBorders>
            <w:tcMar>
              <w:bottom w:w="50" w:type="dxa"/>
            </w:tcMar>
            <w:vAlign w:val="center"/>
          </w:tcPr>
          <w:p>
            <w:pPr>
              <w:pStyle w:val="TableContents"/>
              <w:bidi w:val="0"/>
              <w:spacing w:before="0" w:after="283"/>
              <w:jc w:val="right"/>
              <w:rPr/>
            </w:pPr>
            <w:r>
              <w:rPr/>
              <w:t>$</w:t>
            </w:r>
          </w:p>
        </w:tc>
        <w:tc>
          <w:tcPr>
            <w:tcW w:w="1399" w:type="dxa"/>
            <w:tcBorders>
              <w:bottom w:val="double" w:sz="8" w:space="0" w:color="000000"/>
            </w:tcBorders>
            <w:tcMar>
              <w:bottom w:w="50" w:type="dxa"/>
            </w:tcMar>
            <w:vAlign w:val="center"/>
          </w:tcPr>
          <w:p>
            <w:pPr>
              <w:pStyle w:val="TableContents"/>
              <w:bidi w:val="0"/>
              <w:spacing w:before="0" w:after="283"/>
              <w:jc w:val="right"/>
              <w:rPr/>
            </w:pPr>
            <w:r>
              <w:rPr/>
              <w:t>(5,260,632)</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bottom w:val="double" w:sz="8" w:space="0" w:color="000000"/>
            </w:tcBorders>
            <w:tcMar>
              <w:bottom w:w="50" w:type="dxa"/>
            </w:tcMar>
            <w:vAlign w:val="center"/>
          </w:tcPr>
          <w:p>
            <w:pPr>
              <w:pStyle w:val="TableContents"/>
              <w:bidi w:val="0"/>
              <w:spacing w:before="0" w:after="283"/>
              <w:jc w:val="right"/>
              <w:rPr/>
            </w:pPr>
            <w:r>
              <w:rPr/>
              <w:t>$</w:t>
            </w:r>
          </w:p>
        </w:tc>
        <w:tc>
          <w:tcPr>
            <w:tcW w:w="1320" w:type="dxa"/>
            <w:tcBorders>
              <w:bottom w:val="double" w:sz="8" w:space="0" w:color="000000"/>
            </w:tcBorders>
            <w:tcMar>
              <w:bottom w:w="50" w:type="dxa"/>
            </w:tcMar>
            <w:vAlign w:val="center"/>
          </w:tcPr>
          <w:p>
            <w:pPr>
              <w:pStyle w:val="TableContents"/>
              <w:bidi w:val="0"/>
              <w:spacing w:before="0" w:after="283"/>
              <w:jc w:val="right"/>
              <w:rPr/>
            </w:pPr>
            <w:r>
              <w:rPr/>
              <w:t>(1,020,057)</w:t>
            </w:r>
          </w:p>
        </w:tc>
        <w:tc>
          <w:tcPr>
            <w:tcW w:w="11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39"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spacing w:val="4"/>
              </w:rPr>
            </w:pPr>
            <w:r>
              <w:rPr>
                <w:spacing w:val="4"/>
              </w:rPr>
              <w:t xml:space="preserve">Weighted average number of redeemable shares outstanding – Basic and diluted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1"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399" w:type="dxa"/>
            <w:tcBorders>
              <w:bottom w:val="single" w:sz="2" w:space="0" w:color="000000"/>
            </w:tcBorders>
            <w:shd w:fill="CCEEFF" w:val="clear"/>
            <w:tcMar>
              <w:bottom w:w="37" w:type="dxa"/>
            </w:tcMar>
            <w:vAlign w:val="center"/>
          </w:tcPr>
          <w:p>
            <w:pPr>
              <w:pStyle w:val="TableContents"/>
              <w:bidi w:val="0"/>
              <w:spacing w:before="0" w:after="283"/>
              <w:jc w:val="right"/>
              <w:rPr/>
            </w:pPr>
            <w:r>
              <w:rPr/>
              <w:t>5,419,199</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8"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320"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39"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Loss per share, redeemable shares – Basic and diluted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41" w:type="dxa"/>
            <w:tcBorders>
              <w:bottom w:val="single" w:sz="2" w:space="0" w:color="000000"/>
            </w:tcBorders>
            <w:tcMar>
              <w:bottom w:w="50" w:type="dxa"/>
            </w:tcMar>
            <w:vAlign w:val="center"/>
          </w:tcPr>
          <w:p>
            <w:pPr>
              <w:pStyle w:val="TableContents"/>
              <w:bidi w:val="0"/>
              <w:spacing w:before="0" w:after="283"/>
              <w:jc w:val="right"/>
              <w:rPr/>
            </w:pPr>
            <w:r>
              <w:rPr/>
              <w:t>$</w:t>
            </w:r>
          </w:p>
        </w:tc>
        <w:tc>
          <w:tcPr>
            <w:tcW w:w="1399" w:type="dxa"/>
            <w:tcBorders>
              <w:bottom w:val="single" w:sz="2" w:space="0" w:color="000000"/>
            </w:tcBorders>
            <w:tcMar>
              <w:bottom w:w="50" w:type="dxa"/>
            </w:tcMar>
            <w:vAlign w:val="center"/>
          </w:tcPr>
          <w:p>
            <w:pPr>
              <w:pStyle w:val="TableContents"/>
              <w:bidi w:val="0"/>
              <w:spacing w:before="0" w:after="283"/>
              <w:jc w:val="right"/>
              <w:rPr/>
            </w:pPr>
            <w:r>
              <w:rPr/>
              <w:t>(0.05)</w:t>
            </w:r>
          </w:p>
        </w:tc>
        <w:tc>
          <w:tcPr>
            <w:tcW w:w="1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1320" w:type="dxa"/>
            <w:tcBorders>
              <w:bottom w:val="single" w:sz="2" w:space="0" w:color="000000"/>
            </w:tcBorders>
            <w:tcMar>
              <w:bottom w:w="50" w:type="dxa"/>
            </w:tcMar>
            <w:vAlign w:val="center"/>
          </w:tcPr>
          <w:p>
            <w:pPr>
              <w:pStyle w:val="TableContents"/>
              <w:bidi w:val="0"/>
              <w:spacing w:before="0" w:after="283"/>
              <w:jc w:val="righ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539"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spacing w:val="4"/>
              </w:rPr>
            </w:pPr>
            <w:r>
              <w:rPr>
                <w:spacing w:val="4"/>
              </w:rPr>
              <w:t xml:space="preserve">Weighted average number of non-redeemable shares outstanding – Basic and diluted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1"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399" w:type="dxa"/>
            <w:tcBorders>
              <w:bottom w:val="single" w:sz="2" w:space="0" w:color="000000"/>
            </w:tcBorders>
            <w:shd w:fill="CCEEFF" w:val="clear"/>
            <w:tcMar>
              <w:bottom w:w="37" w:type="dxa"/>
            </w:tcMar>
            <w:vAlign w:val="center"/>
          </w:tcPr>
          <w:p>
            <w:pPr>
              <w:pStyle w:val="TableContents"/>
              <w:bidi w:val="0"/>
              <w:spacing w:before="0" w:after="283"/>
              <w:jc w:val="right"/>
              <w:rPr/>
            </w:pPr>
            <w:r>
              <w:rPr/>
              <w:t>105,453,176</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8"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320" w:type="dxa"/>
            <w:tcBorders>
              <w:bottom w:val="single" w:sz="2" w:space="0" w:color="000000"/>
            </w:tcBorders>
            <w:shd w:fill="CCEEFF" w:val="clear"/>
            <w:tcMar>
              <w:bottom w:w="37" w:type="dxa"/>
            </w:tcMar>
            <w:vAlign w:val="center"/>
          </w:tcPr>
          <w:p>
            <w:pPr>
              <w:pStyle w:val="TableContents"/>
              <w:bidi w:val="0"/>
              <w:spacing w:before="0" w:after="283"/>
              <w:jc w:val="right"/>
              <w:rPr/>
            </w:pPr>
            <w:r>
              <w:rPr/>
              <w:t>73,183,116</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39" w:type="dxa"/>
            <w:tcBorders/>
            <w:tcMar>
              <w:bottom w:w="0" w:type="dxa"/>
            </w:tcMar>
            <w:vAlign w:val="center"/>
          </w:tcPr>
          <w:p>
            <w:pPr>
              <w:pStyle w:val="TableContents"/>
              <w:bidi w:val="0"/>
              <w:spacing w:before="0" w:after="0"/>
              <w:jc w:val="left"/>
              <w:rPr>
                <w:spacing w:val="4"/>
              </w:rPr>
            </w:pPr>
            <w:r>
              <w:rPr>
                <w:spacing w:val="4"/>
              </w:rPr>
              <w:t xml:space="preserve">Loss per share, non-redeemable shares –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bottom w:val="double" w:sz="8" w:space="0" w:color="000000"/>
            </w:tcBorders>
            <w:tcMar>
              <w:bottom w:w="50" w:type="dxa"/>
            </w:tcMar>
            <w:vAlign w:val="center"/>
          </w:tcPr>
          <w:p>
            <w:pPr>
              <w:pStyle w:val="TableContents"/>
              <w:bidi w:val="0"/>
              <w:spacing w:before="0" w:after="283"/>
              <w:jc w:val="right"/>
              <w:rPr/>
            </w:pPr>
            <w:r>
              <w:rPr/>
              <w:t>$</w:t>
            </w:r>
          </w:p>
        </w:tc>
        <w:tc>
          <w:tcPr>
            <w:tcW w:w="1399" w:type="dxa"/>
            <w:tcBorders>
              <w:bottom w:val="double" w:sz="8" w:space="0" w:color="000000"/>
            </w:tcBorders>
            <w:tcMar>
              <w:bottom w:w="50" w:type="dxa"/>
            </w:tcMar>
            <w:vAlign w:val="center"/>
          </w:tcPr>
          <w:p>
            <w:pPr>
              <w:pStyle w:val="TableContents"/>
              <w:bidi w:val="0"/>
              <w:spacing w:before="0" w:after="283"/>
              <w:jc w:val="right"/>
              <w:rPr/>
            </w:pPr>
            <w:r>
              <w:rPr/>
              <w:t>(0.05)</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bottom w:val="double" w:sz="8" w:space="0" w:color="000000"/>
            </w:tcBorders>
            <w:tcMar>
              <w:bottom w:w="50" w:type="dxa"/>
            </w:tcMar>
            <w:vAlign w:val="center"/>
          </w:tcPr>
          <w:p>
            <w:pPr>
              <w:pStyle w:val="TableContents"/>
              <w:bidi w:val="0"/>
              <w:spacing w:before="0" w:after="283"/>
              <w:jc w:val="right"/>
              <w:rPr/>
            </w:pPr>
            <w:r>
              <w:rPr/>
              <w:t>$</w:t>
            </w:r>
          </w:p>
        </w:tc>
        <w:tc>
          <w:tcPr>
            <w:tcW w:w="1320" w:type="dxa"/>
            <w:tcBorders>
              <w:bottom w:val="double" w:sz="8" w:space="0" w:color="000000"/>
            </w:tcBorders>
            <w:tcMar>
              <w:bottom w:w="50" w:type="dxa"/>
            </w:tcMar>
            <w:vAlign w:val="center"/>
          </w:tcPr>
          <w:p>
            <w:pPr>
              <w:pStyle w:val="TableContents"/>
              <w:bidi w:val="0"/>
              <w:spacing w:before="0" w:after="283"/>
              <w:jc w:val="right"/>
              <w:rPr/>
            </w:pPr>
            <w:r>
              <w:rPr/>
              <w:t>(0.01)</w:t>
            </w:r>
          </w:p>
        </w:tc>
        <w:tc>
          <w:tcPr>
            <w:tcW w:w="11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fEEMC2"/>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STATEMENT OF CHANGES IN STOCKHOLDERS’ DEFICIT</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pacing w:val="4"/>
          <w:sz w:val="20"/>
        </w:rPr>
        <w:t xml:space="preserve"> </w:t>
      </w:r>
    </w:p>
    <w:tbl>
      <w:tblPr>
        <w:tblW w:w="11401" w:type="dxa"/>
        <w:jc w:val="left"/>
        <w:tblInd w:w="1393" w:type="dxa"/>
        <w:tblLayout w:type="fixed"/>
        <w:tblCellMar>
          <w:top w:w="0" w:type="dxa"/>
          <w:left w:w="0" w:type="dxa"/>
          <w:bottom w:w="28" w:type="dxa"/>
          <w:right w:w="0" w:type="dxa"/>
        </w:tblCellMar>
      </w:tblPr>
      <w:tblGrid>
        <w:gridCol w:w="1011"/>
        <w:gridCol w:w="109"/>
        <w:gridCol w:w="109"/>
        <w:gridCol w:w="109"/>
        <w:gridCol w:w="109"/>
        <w:gridCol w:w="1306"/>
        <w:gridCol w:w="109"/>
        <w:gridCol w:w="109"/>
        <w:gridCol w:w="109"/>
        <w:gridCol w:w="109"/>
        <w:gridCol w:w="226"/>
        <w:gridCol w:w="766"/>
        <w:gridCol w:w="109"/>
        <w:gridCol w:w="109"/>
        <w:gridCol w:w="109"/>
        <w:gridCol w:w="109"/>
        <w:gridCol w:w="226"/>
        <w:gridCol w:w="1066"/>
        <w:gridCol w:w="109"/>
        <w:gridCol w:w="109"/>
        <w:gridCol w:w="109"/>
        <w:gridCol w:w="109"/>
        <w:gridCol w:w="226"/>
        <w:gridCol w:w="961"/>
        <w:gridCol w:w="109"/>
        <w:gridCol w:w="109"/>
        <w:gridCol w:w="109"/>
        <w:gridCol w:w="109"/>
        <w:gridCol w:w="226"/>
        <w:gridCol w:w="1141"/>
        <w:gridCol w:w="109"/>
        <w:gridCol w:w="109"/>
        <w:gridCol w:w="109"/>
        <w:gridCol w:w="109"/>
        <w:gridCol w:w="226"/>
        <w:gridCol w:w="1141"/>
        <w:gridCol w:w="109"/>
        <w:gridCol w:w="154"/>
      </w:tblGrid>
      <w:tr>
        <w:trPr/>
        <w:tc>
          <w:tcPr>
            <w:tcW w:w="10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61"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 xml:space="preserve">Additional </w:t>
            </w:r>
            <w:r>
              <w:rPr/>
              <w:br/>
            </w:r>
            <w:r>
              <w:rPr>
                <w:spacing w:val="-3"/>
              </w:rPr>
              <w:t xml:space="preserve">Paid-In </w:t>
            </w:r>
            <w:r>
              <w:rPr/>
              <w:br/>
            </w:r>
            <w:r>
              <w:rPr>
                <w:spacing w:val="-3"/>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05"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 xml:space="preserve">Obligation </w:t>
            </w:r>
            <w:r>
              <w:rPr/>
              <w:br/>
            </w:r>
            <w:r>
              <w:rPr>
                <w:spacing w:val="-3"/>
              </w:rPr>
              <w:t xml:space="preserve">to Issue </w:t>
            </w:r>
            <w:r>
              <w:rPr/>
              <w:br/>
            </w:r>
            <w:r>
              <w:rPr>
                <w:spacing w:val="-3"/>
              </w:rPr>
              <w:t xml:space="preserve">Shares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85"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 xml:space="preserve">Accumulated </w:t>
            </w:r>
            <w:r>
              <w:rPr/>
              <w:br/>
            </w:r>
            <w:r>
              <w:rPr>
                <w:spacing w:val="-3"/>
              </w:rPr>
              <w:t xml:space="preserve">Deficit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85"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 xml:space="preserve">Total </w:t>
            </w:r>
            <w:r>
              <w:rPr/>
              <w:br/>
            </w:r>
            <w:r>
              <w:rPr>
                <w:spacing w:val="-3"/>
              </w:rPr>
              <w:t xml:space="preserve">Stockholders’ </w:t>
            </w:r>
            <w:r>
              <w:rPr/>
              <w:br/>
            </w:r>
            <w:r>
              <w:rPr>
                <w:spacing w:val="-3"/>
              </w:rPr>
              <w:t xml:space="preserve">Equity </w:t>
            </w:r>
            <w:r>
              <w:rPr/>
              <w:br/>
            </w:r>
            <w:r>
              <w:rPr>
                <w:spacing w:val="-3"/>
              </w:rPr>
              <w:t xml:space="preserve">(Deficit)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011" w:type="dxa"/>
            <w:tcBorders>
              <w:bottom w:val="single" w:sz="2" w:space="0" w:color="000000"/>
            </w:tcBorders>
            <w:tcMar>
              <w:bottom w:w="43"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Number of </w:t>
            </w:r>
            <w:r>
              <w:rPr/>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510"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05"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85"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85"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01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Balance, December 14, 2023 (Inception)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11" w:type="dxa"/>
            <w:tcBorders/>
            <w:tcMar>
              <w:bottom w:w="0" w:type="dxa"/>
            </w:tcMar>
            <w:vAlign w:val="center"/>
          </w:tcPr>
          <w:p>
            <w:pPr>
              <w:pStyle w:val="TableContents"/>
              <w:bidi w:val="0"/>
              <w:spacing w:before="0" w:after="0"/>
              <w:ind w:left="200" w:right="0" w:hanging="200"/>
              <w:jc w:val="left"/>
              <w:rPr>
                <w:spacing w:val="4"/>
              </w:rPr>
            </w:pPr>
            <w:r>
              <w:rPr>
                <w:spacing w:val="4"/>
              </w:rPr>
              <w:t xml:space="preserve">Issuance of common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96,000,040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225,601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235,201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11" w:type="dxa"/>
            <w:tcBorders/>
            <w:shd w:fill="CCEEFF" w:val="clear"/>
            <w:tcMar>
              <w:bottom w:w="0" w:type="dxa"/>
            </w:tcMar>
            <w:vAlign w:val="center"/>
          </w:tcPr>
          <w:p>
            <w:pPr>
              <w:pStyle w:val="TableContents"/>
              <w:bidi w:val="0"/>
              <w:spacing w:before="0" w:after="0"/>
              <w:jc w:val="left"/>
              <w:rPr>
                <w:spacing w:val="4"/>
              </w:rPr>
            </w:pPr>
            <w:r>
              <w:rPr>
                <w:spacing w:val="4"/>
              </w:rPr>
              <w:t xml:space="preserve">Share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(6,463)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11" w:type="dxa"/>
            <w:tcBorders/>
            <w:tcMar>
              <w:bottom w:w="0" w:type="dxa"/>
            </w:tcMar>
            <w:vAlign w:val="center"/>
          </w:tcPr>
          <w:p>
            <w:pPr>
              <w:pStyle w:val="TableContents"/>
              <w:bidi w:val="0"/>
              <w:spacing w:before="0" w:after="0"/>
              <w:ind w:left="200" w:right="0" w:hanging="200"/>
              <w:jc w:val="left"/>
              <w:rPr>
                <w:spacing w:val="4"/>
              </w:rPr>
            </w:pPr>
            <w:r>
              <w:rPr>
                <w:spacing w:val="4"/>
              </w:rPr>
              <w:t xml:space="preserve">Shares to be issued for bonus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167,750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167,750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1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Net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41" w:type="dxa"/>
            <w:tcBorders>
              <w:bottom w:val="single" w:sz="2" w:space="0" w:color="000000"/>
            </w:tcBorders>
            <w:shd w:fill="CCEEFF" w:val="clear"/>
            <w:tcMar>
              <w:bottom w:w="50" w:type="dxa"/>
            </w:tcMar>
            <w:vAlign w:val="center"/>
          </w:tcPr>
          <w:p>
            <w:pPr>
              <w:pStyle w:val="TableContents"/>
              <w:bidi w:val="0"/>
              <w:spacing w:before="0" w:after="283"/>
              <w:jc w:val="right"/>
              <w:rPr/>
            </w:pPr>
            <w:r>
              <w:rPr/>
              <w:t>(1,020,057)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41" w:type="dxa"/>
            <w:tcBorders>
              <w:bottom w:val="single" w:sz="2" w:space="0" w:color="000000"/>
            </w:tcBorders>
            <w:shd w:fill="CCEEFF" w:val="clear"/>
            <w:tcMar>
              <w:bottom w:w="50" w:type="dxa"/>
            </w:tcMar>
            <w:vAlign w:val="center"/>
          </w:tcPr>
          <w:p>
            <w:pPr>
              <w:pStyle w:val="TableContents"/>
              <w:bidi w:val="0"/>
              <w:spacing w:before="0" w:after="283"/>
              <w:jc w:val="right"/>
              <w:rPr/>
            </w:pPr>
            <w:r>
              <w:rPr/>
              <w:t>(1,020,057)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011"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Balance, November 30, 2024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96,000,040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766" w:type="dxa"/>
            <w:tcBorders>
              <w:bottom w:val="single" w:sz="2" w:space="0" w:color="000000"/>
            </w:tcBorders>
            <w:tcMar>
              <w:bottom w:w="37" w:type="dxa"/>
            </w:tcMar>
            <w:vAlign w:val="center"/>
          </w:tcPr>
          <w:p>
            <w:pPr>
              <w:pStyle w:val="TableContents"/>
              <w:bidi w:val="0"/>
              <w:spacing w:before="0" w:after="283"/>
              <w:jc w:val="right"/>
              <w:rPr/>
            </w:pPr>
            <w:r>
              <w:rPr/>
              <w:t>9,600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tcMar>
              <w:bottom w:w="37" w:type="dxa"/>
            </w:tcMar>
            <w:vAlign w:val="center"/>
          </w:tcPr>
          <w:p>
            <w:pPr>
              <w:pStyle w:val="TableContents"/>
              <w:bidi w:val="0"/>
              <w:spacing w:before="0" w:after="283"/>
              <w:jc w:val="right"/>
              <w:rPr/>
            </w:pPr>
            <w:r>
              <w:rPr/>
              <w:t>219,138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961" w:type="dxa"/>
            <w:tcBorders>
              <w:bottom w:val="single" w:sz="2" w:space="0" w:color="000000"/>
            </w:tcBorders>
            <w:tcMar>
              <w:bottom w:w="37" w:type="dxa"/>
            </w:tcMar>
            <w:vAlign w:val="center"/>
          </w:tcPr>
          <w:p>
            <w:pPr>
              <w:pStyle w:val="TableContents"/>
              <w:bidi w:val="0"/>
              <w:spacing w:before="0" w:after="283"/>
              <w:jc w:val="right"/>
              <w:rPr/>
            </w:pPr>
            <w:r>
              <w:rPr/>
              <w:t>167,750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141" w:type="dxa"/>
            <w:tcBorders>
              <w:bottom w:val="single" w:sz="2" w:space="0" w:color="000000"/>
            </w:tcBorders>
            <w:tcMar>
              <w:bottom w:w="37" w:type="dxa"/>
            </w:tcMar>
            <w:vAlign w:val="center"/>
          </w:tcPr>
          <w:p>
            <w:pPr>
              <w:pStyle w:val="TableContents"/>
              <w:bidi w:val="0"/>
              <w:spacing w:before="0" w:after="283"/>
              <w:jc w:val="right"/>
              <w:rPr/>
            </w:pPr>
            <w:r>
              <w:rPr/>
              <w:t>(1,020,057)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141" w:type="dxa"/>
            <w:tcBorders>
              <w:bottom w:val="single" w:sz="2" w:space="0" w:color="000000"/>
            </w:tcBorders>
            <w:tcMar>
              <w:bottom w:w="37" w:type="dxa"/>
            </w:tcMar>
            <w:vAlign w:val="center"/>
          </w:tcPr>
          <w:p>
            <w:pPr>
              <w:pStyle w:val="TableContents"/>
              <w:bidi w:val="0"/>
              <w:spacing w:before="0" w:after="283"/>
              <w:jc w:val="right"/>
              <w:rPr/>
            </w:pPr>
            <w:r>
              <w:rPr/>
              <w:t>(623,569)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1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Issuance of common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13,140,724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1,313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8,014,535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8,015,848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11" w:type="dxa"/>
            <w:tcBorders/>
            <w:tcMar>
              <w:bottom w:w="0" w:type="dxa"/>
            </w:tcMar>
            <w:vAlign w:val="center"/>
          </w:tcPr>
          <w:p>
            <w:pPr>
              <w:pStyle w:val="TableContents"/>
              <w:bidi w:val="0"/>
              <w:spacing w:before="0" w:after="0"/>
              <w:ind w:left="200" w:right="0" w:hanging="200"/>
              <w:jc w:val="left"/>
              <w:rPr>
                <w:spacing w:val="4"/>
              </w:rPr>
            </w:pPr>
            <w:r>
              <w:rPr>
                <w:spacing w:val="4"/>
              </w:rPr>
              <w:t xml:space="preserve">Issuance of shares to consultants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304,950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(167,750)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137,250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11" w:type="dxa"/>
            <w:tcBorders/>
            <w:shd w:fill="CCEEFF" w:val="clear"/>
            <w:tcMar>
              <w:bottom w:w="0" w:type="dxa"/>
            </w:tcMar>
            <w:vAlign w:val="center"/>
          </w:tcPr>
          <w:p>
            <w:pPr>
              <w:pStyle w:val="TableContents"/>
              <w:bidi w:val="0"/>
              <w:spacing w:before="0" w:after="0"/>
              <w:jc w:val="left"/>
              <w:rPr>
                <w:spacing w:val="4"/>
              </w:rPr>
            </w:pPr>
            <w:r>
              <w:rPr>
                <w:spacing w:val="4"/>
              </w:rPr>
              <w:t xml:space="preserve">Share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570,810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(579,597)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(579,540)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1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Net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41" w:type="dxa"/>
            <w:tcBorders>
              <w:bottom w:val="single" w:sz="2" w:space="0" w:color="000000"/>
            </w:tcBorders>
            <w:tcMar>
              <w:bottom w:w="50" w:type="dxa"/>
            </w:tcMar>
            <w:vAlign w:val="center"/>
          </w:tcPr>
          <w:p>
            <w:pPr>
              <w:pStyle w:val="TableContents"/>
              <w:bidi w:val="0"/>
              <w:spacing w:before="0" w:after="283"/>
              <w:jc w:val="right"/>
              <w:rPr/>
            </w:pPr>
            <w:r>
              <w:rPr/>
              <w:t>(5,260,632)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41" w:type="dxa"/>
            <w:tcBorders>
              <w:bottom w:val="single" w:sz="2" w:space="0" w:color="000000"/>
            </w:tcBorders>
            <w:tcMar>
              <w:bottom w:w="50" w:type="dxa"/>
            </w:tcMar>
            <w:vAlign w:val="center"/>
          </w:tcPr>
          <w:p>
            <w:pPr>
              <w:pStyle w:val="TableContents"/>
              <w:bidi w:val="0"/>
              <w:spacing w:before="0" w:after="283"/>
              <w:jc w:val="right"/>
              <w:rPr/>
            </w:pPr>
            <w:r>
              <w:rPr/>
              <w:t>(5,260,632)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11" w:type="dxa"/>
            <w:tcBorders/>
            <w:shd w:fill="CCEEFF" w:val="clear"/>
            <w:tcMar>
              <w:bottom w:w="0" w:type="dxa"/>
            </w:tcMar>
            <w:vAlign w:val="center"/>
          </w:tcPr>
          <w:p>
            <w:pPr>
              <w:pStyle w:val="TableContents"/>
              <w:bidi w:val="0"/>
              <w:spacing w:before="0" w:after="0"/>
              <w:ind w:left="200" w:right="0" w:hanging="200"/>
              <w:jc w:val="left"/>
              <w:rPr/>
            </w:pPr>
            <w:r>
              <w:rPr>
                <w:spacing w:val="-4"/>
              </w:rPr>
              <w:t>Balance, November 30,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37" w:type="dxa"/>
            </w:tcMar>
            <w:vAlign w:val="center"/>
          </w:tcPr>
          <w:p>
            <w:pPr>
              <w:pStyle w:val="TableContents"/>
              <w:bidi w:val="0"/>
              <w:spacing w:before="0" w:after="283"/>
              <w:jc w:val="right"/>
              <w:rPr/>
            </w:pPr>
            <w:r>
              <w:rPr/>
              <w:t>110,211,574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37" w:type="dxa"/>
            </w:tcMar>
            <w:vAlign w:val="center"/>
          </w:tcPr>
          <w:p>
            <w:pPr>
              <w:pStyle w:val="TableContents"/>
              <w:bidi w:val="0"/>
              <w:spacing w:before="0" w:after="283"/>
              <w:jc w:val="right"/>
              <w:rPr/>
            </w:pPr>
            <w:r>
              <w:rPr/>
              <w:t>11,020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37" w:type="dxa"/>
            </w:tcMar>
            <w:vAlign w:val="center"/>
          </w:tcPr>
          <w:p>
            <w:pPr>
              <w:pStyle w:val="TableContents"/>
              <w:bidi w:val="0"/>
              <w:spacing w:before="0" w:after="283"/>
              <w:jc w:val="right"/>
              <w:rPr/>
            </w:pPr>
            <w:r>
              <w:rPr/>
              <w:t>7,959,026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41" w:type="dxa"/>
            <w:tcBorders>
              <w:bottom w:val="double" w:sz="8" w:space="0" w:color="000000"/>
            </w:tcBorders>
            <w:shd w:fill="CCEEFF" w:val="clear"/>
            <w:tcMar>
              <w:bottom w:w="37" w:type="dxa"/>
            </w:tcMar>
            <w:vAlign w:val="center"/>
          </w:tcPr>
          <w:p>
            <w:pPr>
              <w:pStyle w:val="TableContents"/>
              <w:bidi w:val="0"/>
              <w:spacing w:before="0" w:after="283"/>
              <w:jc w:val="right"/>
              <w:rPr/>
            </w:pPr>
            <w:r>
              <w:rPr/>
              <w:t>(6,280,689)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41" w:type="dxa"/>
            <w:tcBorders>
              <w:bottom w:val="double" w:sz="8" w:space="0" w:color="000000"/>
            </w:tcBorders>
            <w:shd w:fill="CCEEFF" w:val="clear"/>
            <w:tcMar>
              <w:bottom w:w="37" w:type="dxa"/>
            </w:tcMar>
            <w:vAlign w:val="center"/>
          </w:tcPr>
          <w:p>
            <w:pPr>
              <w:pStyle w:val="TableContents"/>
              <w:bidi w:val="0"/>
              <w:spacing w:before="0" w:after="283"/>
              <w:jc w:val="right"/>
              <w:rPr/>
            </w:pPr>
            <w:r>
              <w:rPr/>
              <w:t>1,689,357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fEEMC3"/>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STATEMENT OF CASH FLOWS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572"/>
        <w:gridCol w:w="109"/>
        <w:gridCol w:w="109"/>
        <w:gridCol w:w="121"/>
        <w:gridCol w:w="253"/>
        <w:gridCol w:w="1327"/>
        <w:gridCol w:w="121"/>
        <w:gridCol w:w="109"/>
        <w:gridCol w:w="109"/>
        <w:gridCol w:w="121"/>
        <w:gridCol w:w="253"/>
        <w:gridCol w:w="1327"/>
        <w:gridCol w:w="121"/>
        <w:gridCol w:w="160"/>
      </w:tblGrid>
      <w:tr>
        <w:trPr/>
        <w:tc>
          <w:tcPr>
            <w:tcW w:w="457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year ended</w:t>
            </w:r>
            <w:r>
              <w:rPr/>
              <w:t xml:space="preserve"> </w:t>
              <w:br/>
            </w:r>
            <w:r>
              <w:rPr>
                <w:spacing w:val="-3"/>
              </w:rPr>
              <w:t xml:space="preserve">November 30,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period from</w:t>
            </w:r>
            <w:r>
              <w:rPr/>
              <w:t xml:space="preserve"> </w:t>
              <w:br/>
            </w:r>
            <w:r>
              <w:rPr>
                <w:spacing w:val="-3"/>
              </w:rPr>
              <w:t>December 14, 2023</w:t>
            </w:r>
            <w:r>
              <w:rPr/>
              <w:t xml:space="preserve"> </w:t>
              <w:br/>
            </w:r>
            <w:r>
              <w:rPr>
                <w:spacing w:val="-3"/>
              </w:rPr>
              <w:t>(inception) through</w:t>
            </w:r>
            <w:r>
              <w:rPr/>
              <w:t xml:space="preserve"> </w:t>
              <w:br/>
            </w:r>
            <w:r>
              <w:rPr>
                <w:spacing w:val="-3"/>
              </w:rPr>
              <w:t xml:space="preserve">November 30, 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572" w:type="dxa"/>
            <w:tcBorders/>
            <w:shd w:fill="CCEEFF" w:val="clear"/>
            <w:tcMar>
              <w:bottom w:w="0" w:type="dxa"/>
            </w:tcMar>
            <w:vAlign w:val="center"/>
          </w:tcPr>
          <w:p>
            <w:pPr>
              <w:pStyle w:val="TableContents"/>
              <w:bidi w:val="0"/>
              <w:spacing w:before="0" w:after="283"/>
              <w:jc w:val="left"/>
              <w:rPr/>
            </w:pPr>
            <w:r>
              <w:rPr>
                <w:spacing w:val="-4"/>
              </w:rPr>
              <w:t>Cash flows from operating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72" w:type="dxa"/>
            <w:tcBorders/>
            <w:tcMar>
              <w:bottom w:w="0" w:type="dxa"/>
            </w:tcMar>
            <w:vAlign w:val="center"/>
          </w:tcPr>
          <w:p>
            <w:pPr>
              <w:pStyle w:val="TableContents"/>
              <w:bidi w:val="0"/>
              <w:spacing w:before="0" w:after="0"/>
              <w:jc w:val="left"/>
              <w:rPr>
                <w:spacing w:val="4"/>
              </w:rPr>
            </w:pPr>
            <w:r>
              <w:rPr>
                <w:spacing w:val="4"/>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(5,260,632)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(1,020,057)</w:t>
            </w:r>
          </w:p>
        </w:tc>
        <w:tc>
          <w:tcPr>
            <w:tcW w:w="12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72"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Adjustments to reconcile net loss to 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72" w:type="dxa"/>
            <w:tcBorders/>
            <w:tcMar>
              <w:bottom w:w="0" w:type="dxa"/>
            </w:tcMar>
            <w:vAlign w:val="center"/>
          </w:tcPr>
          <w:p>
            <w:pPr>
              <w:pStyle w:val="TableContents"/>
              <w:bidi w:val="0"/>
              <w:spacing w:before="0" w:after="0"/>
              <w:ind w:left="200" w:right="0" w:hanging="0"/>
              <w:jc w:val="left"/>
              <w:rPr>
                <w:spacing w:val="4"/>
              </w:rPr>
            </w:pPr>
            <w:r>
              <w:rPr>
                <w:spacing w:val="4"/>
              </w:rPr>
              <w:t xml:space="preserve">Loss on impairment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70,000</w:t>
            </w:r>
          </w:p>
        </w:tc>
        <w:tc>
          <w:tcPr>
            <w:tcW w:w="12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7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Amortization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1,515</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72" w:type="dxa"/>
            <w:tcBorders/>
            <w:tcMar>
              <w:bottom w:w="0" w:type="dxa"/>
            </w:tcMar>
            <w:vAlign w:val="center"/>
          </w:tcPr>
          <w:p>
            <w:pPr>
              <w:pStyle w:val="TableContents"/>
              <w:bidi w:val="0"/>
              <w:spacing w:before="0" w:after="0"/>
              <w:ind w:left="200" w:right="0" w:hanging="0"/>
              <w:jc w:val="left"/>
              <w:rPr>
                <w:spacing w:val="4"/>
              </w:rPr>
            </w:pPr>
            <w:r>
              <w:rPr>
                <w:spacing w:val="4"/>
              </w:rPr>
              <w:t xml:space="preserve">(Gain) loss on foreign currency transactions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13,118</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(574)</w:t>
            </w:r>
          </w:p>
        </w:tc>
        <w:tc>
          <w:tcPr>
            <w:tcW w:w="12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7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Non-cash lease adjustment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3,662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72" w:type="dxa"/>
            <w:tcBorders/>
            <w:tcMar>
              <w:bottom w:w="0" w:type="dxa"/>
            </w:tcMar>
            <w:vAlign w:val="center"/>
          </w:tcPr>
          <w:p>
            <w:pPr>
              <w:pStyle w:val="TableContents"/>
              <w:bidi w:val="0"/>
              <w:spacing w:before="0" w:after="0"/>
              <w:ind w:left="200" w:right="0" w:hanging="0"/>
              <w:jc w:val="left"/>
              <w:rPr>
                <w:spacing w:val="4"/>
              </w:rPr>
            </w:pPr>
            <w:r>
              <w:rPr>
                <w:spacing w:val="4"/>
              </w:rPr>
              <w:t xml:space="preserve">Non-cash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137,250</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167,750</w:t>
            </w:r>
          </w:p>
        </w:tc>
        <w:tc>
          <w:tcPr>
            <w:tcW w:w="12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72" w:type="dxa"/>
            <w:tcBorders/>
            <w:shd w:fill="CCEEFF" w:val="clear"/>
            <w:tcMar>
              <w:bottom w:w="0" w:type="dxa"/>
            </w:tcMar>
            <w:vAlign w:val="center"/>
          </w:tcPr>
          <w:p>
            <w:pPr>
              <w:pStyle w:val="TableContents"/>
              <w:bidi w:val="0"/>
              <w:spacing w:before="0" w:after="283"/>
              <w:jc w:val="left"/>
              <w:rPr>
                <w:spacing w:val="4"/>
              </w:rPr>
            </w:pPr>
            <w:r>
              <w:rPr>
                <w:spacing w:val="4"/>
              </w:rPr>
              <w:t xml:space="preserve">Changes in operating assets and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72" w:type="dxa"/>
            <w:tcBorders/>
            <w:tcMar>
              <w:bottom w:w="0" w:type="dxa"/>
            </w:tcMar>
            <w:vAlign w:val="center"/>
          </w:tcPr>
          <w:p>
            <w:pPr>
              <w:pStyle w:val="TableContents"/>
              <w:bidi w:val="0"/>
              <w:spacing w:before="0" w:after="0"/>
              <w:ind w:left="200" w:right="0" w:hanging="0"/>
              <w:jc w:val="left"/>
              <w:rPr>
                <w:spacing w:val="4"/>
              </w:rPr>
            </w:pPr>
            <w:r>
              <w:rPr>
                <w:spacing w:val="4"/>
              </w:rPr>
              <w:t xml:space="preserve">Accounts payable and accrued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416,093</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101,316</w:t>
            </w:r>
          </w:p>
        </w:tc>
        <w:tc>
          <w:tcPr>
            <w:tcW w:w="12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7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Deposits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(71,506)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72" w:type="dxa"/>
            <w:tcBorders/>
            <w:tcMar>
              <w:bottom w:w="0" w:type="dxa"/>
            </w:tcMar>
            <w:vAlign w:val="center"/>
          </w:tcPr>
          <w:p>
            <w:pPr>
              <w:pStyle w:val="TableContents"/>
              <w:bidi w:val="0"/>
              <w:spacing w:before="0" w:after="0"/>
              <w:ind w:left="200" w:right="0" w:hanging="0"/>
              <w:jc w:val="left"/>
              <w:rPr>
                <w:spacing w:val="4"/>
              </w:rPr>
            </w:pPr>
            <w:r>
              <w:rPr>
                <w:spacing w:val="4"/>
              </w:rPr>
              <w:t xml:space="preserve">Prepaid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(162,470)</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(427)</w:t>
            </w:r>
          </w:p>
        </w:tc>
        <w:tc>
          <w:tcPr>
            <w:tcW w:w="12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7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Due to related parties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50" w:type="dxa"/>
            </w:tcMar>
            <w:vAlign w:val="center"/>
          </w:tcPr>
          <w:p>
            <w:pPr>
              <w:pStyle w:val="TableContents"/>
              <w:bidi w:val="0"/>
              <w:spacing w:before="0" w:after="283"/>
              <w:jc w:val="right"/>
              <w:rPr/>
            </w:pPr>
            <w:r>
              <w:rPr/>
              <w:t>(238,443)</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50" w:type="dxa"/>
            </w:tcMar>
            <w:vAlign w:val="center"/>
          </w:tcPr>
          <w:p>
            <w:pPr>
              <w:pStyle w:val="TableContents"/>
              <w:bidi w:val="0"/>
              <w:spacing w:before="0" w:after="283"/>
              <w:jc w:val="right"/>
              <w:rPr/>
            </w:pPr>
            <w:r>
              <w:rPr/>
              <w:t>518,468</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72" w:type="dxa"/>
            <w:tcBorders>
              <w:bottom w:val="single" w:sz="2" w:space="0" w:color="FFFFFF"/>
            </w:tcBorders>
            <w:tcMar>
              <w:bottom w:w="50" w:type="dxa"/>
            </w:tcMar>
            <w:vAlign w:val="center"/>
          </w:tcPr>
          <w:p>
            <w:pPr>
              <w:pStyle w:val="TableContents"/>
              <w:bidi w:val="0"/>
              <w:spacing w:before="0" w:after="0"/>
              <w:jc w:val="left"/>
              <w:rPr/>
            </w:pPr>
            <w:r>
              <w:rPr>
                <w:spacing w:val="-4"/>
              </w:rPr>
              <w:t>Net cash used in operating activities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3" w:type="dxa"/>
            <w:tcBorders>
              <w:bottom w:val="single" w:sz="2" w:space="0" w:color="000000"/>
            </w:tcBorders>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tcMar>
              <w:bottom w:w="50" w:type="dxa"/>
            </w:tcMar>
            <w:vAlign w:val="center"/>
          </w:tcPr>
          <w:p>
            <w:pPr>
              <w:pStyle w:val="TableContents"/>
              <w:bidi w:val="0"/>
              <w:spacing w:before="0" w:after="283"/>
              <w:jc w:val="right"/>
              <w:rPr/>
            </w:pPr>
            <w:r>
              <w:rPr/>
              <w:t>(5,161,413)</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3" w:type="dxa"/>
            <w:tcBorders>
              <w:bottom w:val="single" w:sz="2" w:space="0" w:color="000000"/>
            </w:tcBorders>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tcMar>
              <w:bottom w:w="50" w:type="dxa"/>
            </w:tcMar>
            <w:vAlign w:val="center"/>
          </w:tcPr>
          <w:p>
            <w:pPr>
              <w:pStyle w:val="TableContents"/>
              <w:bidi w:val="0"/>
              <w:spacing w:before="0" w:after="283"/>
              <w:jc w:val="right"/>
              <w:rPr/>
            </w:pPr>
            <w:r>
              <w:rPr/>
              <w:t>(163,524)</w:t>
            </w:r>
          </w:p>
        </w:tc>
        <w:tc>
          <w:tcPr>
            <w:tcW w:w="121"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572" w:type="dxa"/>
            <w:tcBorders/>
            <w:shd w:fill="CCEEFF" w:val="clear"/>
            <w:tcMar>
              <w:bottom w:w="0" w:type="dxa"/>
            </w:tcMar>
            <w:vAlign w:val="center"/>
          </w:tcPr>
          <w:p>
            <w:pPr>
              <w:pStyle w:val="TableContents"/>
              <w:bidi w:val="0"/>
              <w:spacing w:before="0" w:after="283"/>
              <w:jc w:val="left"/>
              <w:rPr/>
            </w:pPr>
            <w:r>
              <w:rPr>
                <w:spacing w:val="-4"/>
              </w:rPr>
              <w:t>Cash flows from investing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72" w:type="dxa"/>
            <w:tcBorders/>
            <w:tcMar>
              <w:bottom w:w="0" w:type="dxa"/>
            </w:tcMar>
            <w:vAlign w:val="center"/>
          </w:tcPr>
          <w:p>
            <w:pPr>
              <w:pStyle w:val="TableContents"/>
              <w:bidi w:val="0"/>
              <w:spacing w:before="0" w:after="0"/>
              <w:ind w:left="200" w:right="0" w:hanging="0"/>
              <w:jc w:val="left"/>
              <w:rPr>
                <w:spacing w:val="4"/>
              </w:rPr>
            </w:pPr>
            <w:r>
              <w:rPr>
                <w:spacing w:val="4"/>
              </w:rPr>
              <w:t xml:space="preserve">Purchase of 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(67,430)</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7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Investment in mineral rights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50" w:type="dxa"/>
            </w:tcMar>
            <w:vAlign w:val="center"/>
          </w:tcPr>
          <w:p>
            <w:pPr>
              <w:pStyle w:val="TableContents"/>
              <w:bidi w:val="0"/>
              <w:spacing w:before="0" w:after="283"/>
              <w:jc w:val="right"/>
              <w:rPr/>
            </w:pPr>
            <w:r>
              <w:rPr/>
              <w:t>(1,193,415)</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50" w:type="dxa"/>
            </w:tcMar>
            <w:vAlign w:val="center"/>
          </w:tcPr>
          <w:p>
            <w:pPr>
              <w:pStyle w:val="TableContents"/>
              <w:bidi w:val="0"/>
              <w:spacing w:before="0" w:after="283"/>
              <w:jc w:val="right"/>
              <w:rPr/>
            </w:pPr>
            <w:r>
              <w:rPr/>
              <w:t>(70,000)</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72" w:type="dxa"/>
            <w:tcBorders>
              <w:bottom w:val="single" w:sz="2" w:space="0" w:color="FFFFFF"/>
            </w:tcBorders>
            <w:tcMar>
              <w:bottom w:w="50" w:type="dxa"/>
            </w:tcMar>
            <w:vAlign w:val="center"/>
          </w:tcPr>
          <w:p>
            <w:pPr>
              <w:pStyle w:val="TableContents"/>
              <w:bidi w:val="0"/>
              <w:spacing w:before="0" w:after="0"/>
              <w:jc w:val="left"/>
              <w:rPr/>
            </w:pPr>
            <w:r>
              <w:rPr>
                <w:spacing w:val="-4"/>
              </w:rPr>
              <w:t>Net cash used in investing activities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3" w:type="dxa"/>
            <w:tcBorders>
              <w:bottom w:val="single" w:sz="2" w:space="0" w:color="000000"/>
            </w:tcBorders>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tcMar>
              <w:bottom w:w="50" w:type="dxa"/>
            </w:tcMar>
            <w:vAlign w:val="center"/>
          </w:tcPr>
          <w:p>
            <w:pPr>
              <w:pStyle w:val="TableContents"/>
              <w:bidi w:val="0"/>
              <w:spacing w:before="0" w:after="283"/>
              <w:jc w:val="right"/>
              <w:rPr/>
            </w:pPr>
            <w:r>
              <w:rPr/>
              <w:t>(1,260,845)</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3" w:type="dxa"/>
            <w:tcBorders>
              <w:bottom w:val="single" w:sz="2" w:space="0" w:color="000000"/>
            </w:tcBorders>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tcMar>
              <w:bottom w:w="50" w:type="dxa"/>
            </w:tcMar>
            <w:vAlign w:val="center"/>
          </w:tcPr>
          <w:p>
            <w:pPr>
              <w:pStyle w:val="TableContents"/>
              <w:bidi w:val="0"/>
              <w:spacing w:before="0" w:after="283"/>
              <w:jc w:val="right"/>
              <w:rPr/>
            </w:pPr>
            <w:r>
              <w:rPr/>
              <w:t>(70,000)</w:t>
            </w:r>
          </w:p>
        </w:tc>
        <w:tc>
          <w:tcPr>
            <w:tcW w:w="121"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572" w:type="dxa"/>
            <w:tcBorders/>
            <w:shd w:fill="CCEEFF" w:val="clear"/>
            <w:tcMar>
              <w:bottom w:w="0" w:type="dxa"/>
            </w:tcMar>
            <w:vAlign w:val="center"/>
          </w:tcPr>
          <w:p>
            <w:pPr>
              <w:pStyle w:val="TableContents"/>
              <w:bidi w:val="0"/>
              <w:spacing w:before="0" w:after="283"/>
              <w:jc w:val="left"/>
              <w:rPr/>
            </w:pPr>
            <w:r>
              <w:rPr>
                <w:spacing w:val="-4"/>
              </w:rPr>
              <w:t>Cash flows from financing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72" w:type="dxa"/>
            <w:tcBorders/>
            <w:tcMar>
              <w:bottom w:w="0" w:type="dxa"/>
            </w:tcMar>
            <w:vAlign w:val="center"/>
          </w:tcPr>
          <w:p>
            <w:pPr>
              <w:pStyle w:val="TableContents"/>
              <w:bidi w:val="0"/>
              <w:spacing w:before="0" w:after="0"/>
              <w:ind w:left="400" w:right="0" w:hanging="200"/>
              <w:jc w:val="left"/>
              <w:rPr>
                <w:spacing w:val="4"/>
              </w:rPr>
            </w:pPr>
            <w:r>
              <w:rPr>
                <w:spacing w:val="4"/>
              </w:rPr>
              <w:t xml:space="preserve">Proceeds from the issuance of common shares, net of share issuance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7,436,308</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233,667</w:t>
            </w:r>
          </w:p>
        </w:tc>
        <w:tc>
          <w:tcPr>
            <w:tcW w:w="12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7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Proceeds from the issuance of redeemable common stock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50" w:type="dxa"/>
            </w:tcMar>
            <w:vAlign w:val="center"/>
          </w:tcPr>
          <w:p>
            <w:pPr>
              <w:pStyle w:val="TableContents"/>
              <w:bidi w:val="0"/>
              <w:spacing w:before="0" w:after="283"/>
              <w:jc w:val="right"/>
              <w:rPr/>
            </w:pPr>
            <w:r>
              <w:rPr/>
              <w:t>300,000</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72" w:type="dxa"/>
            <w:tcBorders>
              <w:bottom w:val="single" w:sz="2" w:space="0" w:color="FFFFFF"/>
            </w:tcBorders>
            <w:tcMar>
              <w:bottom w:w="50" w:type="dxa"/>
            </w:tcMar>
            <w:vAlign w:val="center"/>
          </w:tcPr>
          <w:p>
            <w:pPr>
              <w:pStyle w:val="TableContents"/>
              <w:bidi w:val="0"/>
              <w:spacing w:before="0" w:after="0"/>
              <w:jc w:val="left"/>
              <w:rPr/>
            </w:pPr>
            <w:r>
              <w:rPr>
                <w:spacing w:val="-4"/>
              </w:rPr>
              <w:t>Net cash provided by financing activities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3" w:type="dxa"/>
            <w:tcBorders>
              <w:bottom w:val="single" w:sz="2" w:space="0" w:color="000000"/>
            </w:tcBorders>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tcMar>
              <w:bottom w:w="50" w:type="dxa"/>
            </w:tcMar>
            <w:vAlign w:val="center"/>
          </w:tcPr>
          <w:p>
            <w:pPr>
              <w:pStyle w:val="TableContents"/>
              <w:bidi w:val="0"/>
              <w:spacing w:before="0" w:after="283"/>
              <w:jc w:val="right"/>
              <w:rPr/>
            </w:pPr>
            <w:r>
              <w:rPr/>
              <w:t>7,736,308</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3" w:type="dxa"/>
            <w:tcBorders>
              <w:bottom w:val="single" w:sz="2" w:space="0" w:color="000000"/>
            </w:tcBorders>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tcMar>
              <w:bottom w:w="50" w:type="dxa"/>
            </w:tcMar>
            <w:vAlign w:val="center"/>
          </w:tcPr>
          <w:p>
            <w:pPr>
              <w:pStyle w:val="TableContents"/>
              <w:bidi w:val="0"/>
              <w:spacing w:before="0" w:after="283"/>
              <w:jc w:val="right"/>
              <w:rPr/>
            </w:pPr>
            <w:r>
              <w:rPr/>
              <w:t>233,667</w:t>
            </w:r>
          </w:p>
        </w:tc>
        <w:tc>
          <w:tcPr>
            <w:tcW w:w="121"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572"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Effects of foreign exchange on cash</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50" w:type="dxa"/>
            </w:tcMar>
            <w:vAlign w:val="center"/>
          </w:tcPr>
          <w:p>
            <w:pPr>
              <w:pStyle w:val="TableContents"/>
              <w:bidi w:val="0"/>
              <w:spacing w:before="0" w:after="283"/>
              <w:jc w:val="right"/>
              <w:rPr/>
            </w:pPr>
            <w:r>
              <w:rPr/>
              <w:t>(12,839)</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50" w:type="dxa"/>
            </w:tcMar>
            <w:vAlign w:val="center"/>
          </w:tcPr>
          <w:p>
            <w:pPr>
              <w:pStyle w:val="TableContents"/>
              <w:bidi w:val="0"/>
              <w:spacing w:before="0" w:after="283"/>
              <w:jc w:val="right"/>
              <w:rPr/>
            </w:pPr>
            <w:r>
              <w:rPr/>
              <w:t>574</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72" w:type="dxa"/>
            <w:tcBorders/>
            <w:tcMar>
              <w:bottom w:w="0" w:type="dxa"/>
            </w:tcMar>
            <w:vAlign w:val="center"/>
          </w:tcPr>
          <w:p>
            <w:pPr>
              <w:pStyle w:val="TableContents"/>
              <w:bidi w:val="0"/>
              <w:spacing w:before="0" w:after="0"/>
              <w:jc w:val="left"/>
              <w:rPr>
                <w:b/>
              </w:rPr>
            </w:pPr>
            <w:r>
              <w:rPr>
                <w:b/>
                <w:spacing w:val="-4"/>
              </w:rPr>
              <w:t>Increase in cash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1,301,211</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327" w:type="dxa"/>
            <w:tcBorders/>
            <w:tcMar>
              <w:bottom w:w="0" w:type="dxa"/>
            </w:tcMar>
            <w:vAlign w:val="center"/>
          </w:tcPr>
          <w:p>
            <w:pPr>
              <w:pStyle w:val="TableContents"/>
              <w:bidi w:val="0"/>
              <w:spacing w:before="0" w:after="283"/>
              <w:jc w:val="right"/>
              <w:rPr/>
            </w:pPr>
            <w:r>
              <w:rPr/>
              <w:t>717</w:t>
            </w:r>
          </w:p>
        </w:tc>
        <w:tc>
          <w:tcPr>
            <w:tcW w:w="12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72"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Cash, beginning of period</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50" w:type="dxa"/>
            </w:tcMar>
            <w:vAlign w:val="center"/>
          </w:tcPr>
          <w:p>
            <w:pPr>
              <w:pStyle w:val="TableContents"/>
              <w:bidi w:val="0"/>
              <w:spacing w:before="0" w:after="283"/>
              <w:jc w:val="right"/>
              <w:rPr/>
            </w:pPr>
            <w:r>
              <w:rPr/>
              <w:t>717</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572" w:type="dxa"/>
            <w:tcBorders/>
            <w:tcMar>
              <w:bottom w:w="0" w:type="dxa"/>
            </w:tcMar>
            <w:vAlign w:val="center"/>
          </w:tcPr>
          <w:p>
            <w:pPr>
              <w:pStyle w:val="TableContents"/>
              <w:bidi w:val="0"/>
              <w:spacing w:before="0" w:after="0"/>
              <w:jc w:val="left"/>
              <w:rPr/>
            </w:pPr>
            <w:r>
              <w:rPr>
                <w:spacing w:val="-4"/>
              </w:rPr>
              <w:t>Cash, end of period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bottom w:val="double" w:sz="8" w:space="0" w:color="000000"/>
            </w:tcBorders>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tcMar>
              <w:bottom w:w="50" w:type="dxa"/>
            </w:tcMar>
            <w:vAlign w:val="center"/>
          </w:tcPr>
          <w:p>
            <w:pPr>
              <w:pStyle w:val="TableContents"/>
              <w:bidi w:val="0"/>
              <w:spacing w:before="0" w:after="283"/>
              <w:jc w:val="right"/>
              <w:rPr/>
            </w:pPr>
            <w:r>
              <w:rPr/>
              <w:t>1,301,928</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bottom w:val="double" w:sz="8" w:space="0" w:color="000000"/>
            </w:tcBorders>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tcMar>
              <w:bottom w:w="50" w:type="dxa"/>
            </w:tcMar>
            <w:vAlign w:val="center"/>
          </w:tcPr>
          <w:p>
            <w:pPr>
              <w:pStyle w:val="TableContents"/>
              <w:bidi w:val="0"/>
              <w:spacing w:before="0" w:after="283"/>
              <w:jc w:val="right"/>
              <w:rPr/>
            </w:pPr>
            <w:r>
              <w:rPr/>
              <w:t>717</w:t>
            </w:r>
          </w:p>
        </w:tc>
        <w:tc>
          <w:tcPr>
            <w:tcW w:w="12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72" w:type="dxa"/>
            <w:tcBorders/>
            <w:shd w:fill="CCEEFF" w:val="clear"/>
            <w:tcMar>
              <w:bottom w:w="0" w:type="dxa"/>
            </w:tcMar>
            <w:vAlign w:val="center"/>
          </w:tcPr>
          <w:p>
            <w:pPr>
              <w:pStyle w:val="TableContents"/>
              <w:bidi w:val="0"/>
              <w:spacing w:before="0" w:after="283"/>
              <w:jc w:val="left"/>
              <w:rPr/>
            </w:pPr>
            <w:r>
              <w:rPr>
                <w:spacing w:val="-4"/>
              </w:rPr>
              <w:t>Supplemental disclosure of non-cash information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72" w:type="dxa"/>
            <w:tcBorders/>
            <w:tcMar>
              <w:bottom w:w="0" w:type="dxa"/>
            </w:tcMar>
            <w:vAlign w:val="center"/>
          </w:tcPr>
          <w:p>
            <w:pPr>
              <w:pStyle w:val="TableContents"/>
              <w:bidi w:val="0"/>
              <w:spacing w:before="0" w:after="0"/>
              <w:jc w:val="left"/>
              <w:rPr>
                <w:spacing w:val="4"/>
              </w:rPr>
            </w:pPr>
            <w:r>
              <w:rPr>
                <w:spacing w:val="4"/>
              </w:rPr>
              <w:t xml:space="preserve">Share issuance costs in accounts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bottom w:val="double" w:sz="8" w:space="0" w:color="000000"/>
            </w:tcBorders>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tcMar>
              <w:bottom w:w="5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bottom w:val="double" w:sz="8" w:space="0" w:color="000000"/>
            </w:tcBorders>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tcMar>
              <w:bottom w:w="50" w:type="dxa"/>
            </w:tcMar>
            <w:vAlign w:val="center"/>
          </w:tcPr>
          <w:p>
            <w:pPr>
              <w:pStyle w:val="TableContents"/>
              <w:bidi w:val="0"/>
              <w:spacing w:before="0" w:after="283"/>
              <w:jc w:val="right"/>
              <w:rPr/>
            </w:pPr>
            <w:r>
              <w:rPr/>
              <w:t>4,929</w:t>
            </w:r>
          </w:p>
        </w:tc>
        <w:tc>
          <w:tcPr>
            <w:tcW w:w="12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72" w:type="dxa"/>
            <w:tcBorders/>
            <w:shd w:fill="CCEEFF" w:val="clear"/>
            <w:tcMar>
              <w:bottom w:w="0" w:type="dxa"/>
            </w:tcMar>
            <w:vAlign w:val="center"/>
          </w:tcPr>
          <w:p>
            <w:pPr>
              <w:pStyle w:val="TableContents"/>
              <w:bidi w:val="0"/>
              <w:spacing w:before="0" w:after="0"/>
              <w:jc w:val="left"/>
              <w:rPr>
                <w:spacing w:val="4"/>
              </w:rPr>
            </w:pPr>
            <w:r>
              <w:rPr>
                <w:spacing w:val="4"/>
              </w:rPr>
              <w:t xml:space="preserve">Share issuance costs settled in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shd w:fill="CCEEFF" w:val="clear"/>
            <w:tcMar>
              <w:bottom w:w="50" w:type="dxa"/>
            </w:tcMar>
            <w:vAlign w:val="center"/>
          </w:tcPr>
          <w:p>
            <w:pPr>
              <w:pStyle w:val="TableContents"/>
              <w:bidi w:val="0"/>
              <w:spacing w:before="0" w:after="283"/>
              <w:jc w:val="right"/>
              <w:rPr/>
            </w:pPr>
            <w:r>
              <w:rPr/>
              <w:t>348,194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72" w:type="dxa"/>
            <w:tcBorders/>
            <w:tcMar>
              <w:bottom w:w="0" w:type="dxa"/>
            </w:tcMar>
            <w:vAlign w:val="center"/>
          </w:tcPr>
          <w:p>
            <w:pPr>
              <w:pStyle w:val="TableContents"/>
              <w:bidi w:val="0"/>
              <w:spacing w:before="0" w:after="0"/>
              <w:jc w:val="left"/>
              <w:rPr>
                <w:spacing w:val="4"/>
              </w:rPr>
            </w:pPr>
            <w:r>
              <w:rPr>
                <w:spacing w:val="4"/>
              </w:rPr>
              <w:t xml:space="preserve">Investment in mineral rights in accounts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bottom w:val="double" w:sz="8" w:space="0" w:color="000000"/>
            </w:tcBorders>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tcMar>
              <w:bottom w:w="50" w:type="dxa"/>
            </w:tcMar>
            <w:vAlign w:val="center"/>
          </w:tcPr>
          <w:p>
            <w:pPr>
              <w:pStyle w:val="TableContents"/>
              <w:bidi w:val="0"/>
              <w:spacing w:before="0" w:after="283"/>
              <w:jc w:val="right"/>
              <w:rPr/>
            </w:pPr>
            <w:r>
              <w:rPr/>
              <w:t>7,975</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bottom w:val="double" w:sz="8" w:space="0" w:color="000000"/>
            </w:tcBorders>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tcMar>
              <w:bottom w:w="5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72" w:type="dxa"/>
            <w:tcBorders/>
            <w:shd w:fill="CCEEFF" w:val="clear"/>
            <w:tcMar>
              <w:bottom w:w="0" w:type="dxa"/>
            </w:tcMar>
            <w:vAlign w:val="center"/>
          </w:tcPr>
          <w:p>
            <w:pPr>
              <w:pStyle w:val="TableContents"/>
              <w:bidi w:val="0"/>
              <w:spacing w:before="0" w:after="0"/>
              <w:jc w:val="left"/>
              <w:rPr>
                <w:spacing w:val="4"/>
              </w:rPr>
            </w:pPr>
            <w:r>
              <w:rPr>
                <w:spacing w:val="4"/>
              </w:rPr>
              <w:t xml:space="preserve">Consultant bonus settled by issuance of bonus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shd w:fill="CCEEFF" w:val="clear"/>
            <w:tcMar>
              <w:bottom w:w="50" w:type="dxa"/>
            </w:tcMar>
            <w:vAlign w:val="center"/>
          </w:tcPr>
          <w:p>
            <w:pPr>
              <w:pStyle w:val="TableContents"/>
              <w:bidi w:val="0"/>
              <w:spacing w:before="0" w:after="283"/>
              <w:jc w:val="right"/>
              <w:rPr/>
            </w:pPr>
            <w:r>
              <w:rPr/>
              <w:t>183,000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72" w:type="dxa"/>
            <w:tcBorders/>
            <w:tcMar>
              <w:bottom w:w="0" w:type="dxa"/>
            </w:tcMar>
            <w:vAlign w:val="center"/>
          </w:tcPr>
          <w:p>
            <w:pPr>
              <w:pStyle w:val="TableContents"/>
              <w:bidi w:val="0"/>
              <w:spacing w:before="0" w:after="0"/>
              <w:jc w:val="left"/>
              <w:rPr>
                <w:spacing w:val="4"/>
              </w:rPr>
            </w:pPr>
            <w:r>
              <w:rPr>
                <w:spacing w:val="4"/>
              </w:rPr>
              <w:t xml:space="preserve">Consulting fees paid by issuance of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bottom w:val="double" w:sz="8" w:space="0" w:color="000000"/>
            </w:tcBorders>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tcMar>
              <w:bottom w:w="50" w:type="dxa"/>
            </w:tcMar>
            <w:vAlign w:val="center"/>
          </w:tcPr>
          <w:p>
            <w:pPr>
              <w:pStyle w:val="TableContents"/>
              <w:bidi w:val="0"/>
              <w:spacing w:before="0" w:after="283"/>
              <w:jc w:val="right"/>
              <w:rPr/>
            </w:pPr>
            <w:r>
              <w:rPr/>
              <w:t>122,000</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bottom w:val="double" w:sz="8" w:space="0" w:color="000000"/>
            </w:tcBorders>
            <w:tcMar>
              <w:bottom w:w="50" w:type="dxa"/>
            </w:tcMar>
            <w:vAlign w:val="center"/>
          </w:tcPr>
          <w:p>
            <w:pPr>
              <w:pStyle w:val="TableContents"/>
              <w:bidi w:val="0"/>
              <w:spacing w:before="0" w:after="283"/>
              <w:jc w:val="right"/>
              <w:rPr/>
            </w:pPr>
            <w:r>
              <w:rPr/>
              <w:t>$</w:t>
            </w:r>
          </w:p>
        </w:tc>
        <w:tc>
          <w:tcPr>
            <w:tcW w:w="1327" w:type="dxa"/>
            <w:tcBorders>
              <w:bottom w:val="double" w:sz="8" w:space="0" w:color="000000"/>
            </w:tcBorders>
            <w:tcMar>
              <w:bottom w:w="5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fEEMC4"/>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NATURE OF OPERATIONS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24">
                <wp:simplePos x="0" y="0"/>
                <wp:positionH relativeFrom="column">
                  <wp:align>left</wp:align>
                </wp:positionH>
                <wp:positionV relativeFrom="line">
                  <wp:align>top</wp:align>
                </wp:positionV>
                <wp:extent cx="254000" cy="350520"/>
                <wp:effectExtent l="0" t="0" r="0" b="0"/>
                <wp:wrapSquare wrapText="right"/>
                <wp:docPr id="321" name="Frame3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Eagle Energy Metals Corp., formerly Eagle Battery Metals Corp., (“Eagle Energy” or the “Company”) was incorporated on December 14, 2023, under the laws of the State of Delaware. The Company’s registered office is held at Capitol Services Inc. 108 Lakeland Avenue, Kent County, Dover, DE 19901. The Company is a mining and exploration company focused on mineral exploration and development in North America.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17, 2024, the Company completed a conversion into a Nevada corporation (the “Conversion”), under the name Eagle Energy Metals Corp. pursuant to a plan of conversion. Each common share outstanding, par value of $0.0001 per share, of the Company as a Delaware entity was converted into 4.081617 common shares, par value of $0.0001 of the Company as a Nevada entity. The share amounts included in the accompanying financial statements reflect the converted amount.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2025, the Company entered into an agreement and plan of merger (“BCA”) with Spring Valley Acquisition Corp. II (“SVII”), a publicly traded special purpose acquisition company listed on NASDAQ under the symbol “SVII”. The BCA outlines terms of a transaction in which SVII would acquire all of the outstanding equity of the Company in exchange for shares of SVII, in order to effect a “de-SPAC” transaction, with the intention of obtaining a listing for the Company on NASDAQ. The BCA was subsequently amended on September 29, 2025 (“Amended BCA”), to amend the legal structure of the “de-SPAC”, such that each of SVII and the Company will become a subsidiary of Eagle Nuclear Energy Corp. (“PubCo”), a newly incorporated entity, with the intention of obtaining a listing of PubCo on the NASDAQ.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Risks and Uncertainties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Disruption of global financial markets and a recession or market correction, including the ongoing military conflicts between Russia and Ukraine and the related sanctions imposed against Russia as well as the conflict between Israel and Hamas, the significant tariffs imposed by the United States on imports from other countries and other global macroeconomic factors such as inflation and rising interest rates, could reduce the Company’s ability to access capital, which could in the future negatively affect the Company’s liquidity and could materially affect the Company’s business and the value of its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PRESENTATION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7480" distB="0" distL="0" distR="0" simplePos="0" locked="0" layoutInCell="1" allowOverlap="1" relativeHeight="325">
                <wp:simplePos x="0" y="0"/>
                <wp:positionH relativeFrom="column">
                  <wp:align>left</wp:align>
                </wp:positionH>
                <wp:positionV relativeFrom="line">
                  <wp:align>top</wp:align>
                </wp:positionV>
                <wp:extent cx="254000" cy="350520"/>
                <wp:effectExtent l="0" t="0" r="0" b="0"/>
                <wp:wrapSquare wrapText="right"/>
                <wp:docPr id="322" name="Frame3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4pt;mso-wrap-distance-bottom:0pt;margin-top:12.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accounting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26">
                <wp:simplePos x="0" y="0"/>
                <wp:positionH relativeFrom="column">
                  <wp:align>left</wp:align>
                </wp:positionH>
                <wp:positionV relativeFrom="line">
                  <wp:align>top</wp:align>
                </wp:positionV>
                <wp:extent cx="254000" cy="350520"/>
                <wp:effectExtent l="0" t="0" r="0" b="0"/>
                <wp:wrapSquare wrapText="right"/>
                <wp:docPr id="323" name="Frame3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financial statements are presented using the accrual basis of accounting in accordance with accounting principles generally accepted in the United States of America (“U.S. GAAP”). References to the “ASC” hereafter refer to the Accounting Standards Codification established by the Financial Accounting Standards Board (“FASB”) as the source of authoritative U.S. GAAP.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Going concern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right"/>
                <wp:docPr id="324"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b)</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b)</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November 30, 2025, the Company incurred a net loss of $5,260,632 (for the period from December 14, 2023 (inception) through November 30, 2024 — $1,020,057), and as of November 30, 2025, had an accumulated deficit of $6,280,689 (November 30, 2024 — 1,020,057). The Company’s ability to continue its operations and to realize its assets at their carrying values is dependent upon the Company’s ability to raise financing and generate profits and positive cash flows from operations to cover its operating costs. From time to time, the Company generates working capital to fund its operations by raising capital through equity or debt financing. However, there is no assurance that the Company will be able to continue to raise capital this way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PRESENTATION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28">
                <wp:simplePos x="0" y="0"/>
                <wp:positionH relativeFrom="column">
                  <wp:align>left</wp:align>
                </wp:positionH>
                <wp:positionV relativeFrom="line">
                  <wp:align>top</wp:align>
                </wp:positionV>
                <wp:extent cx="254000" cy="175260"/>
                <wp:effectExtent l="0" t="0" r="0" b="0"/>
                <wp:wrapSquare wrapText="right"/>
                <wp:docPr id="325" name="Frame320"/>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do not give effect to any adjustments required for the Company to realize its assets and discharge its liabilities in other than the normal course of business and at amounts different from those reflected in the financial statements. If the going concern assumption was not appropriate for the financial statements, adjustments would be necessary to the balance sheet classifications used. Such adjustments could be material. Additional funds will be required to enable the Company to pursue its initiatives, and the Company may be unable to obtain such financing on terms which are satisfactory to it. Furthermore, there is no assurance that the business will be profitable. These factors indicate the existence of a material uncertainty that may cast doubt about the Company’s ability to continue as a going concern within one year after the date of the financial statements being issued. Should the Company be unable to complete these plans to obtain additional financing and be unable to continue as a going concern, the Company may be forced to cease operations.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Functional and presentation currencies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29">
                <wp:simplePos x="0" y="0"/>
                <wp:positionH relativeFrom="column">
                  <wp:align>left</wp:align>
                </wp:positionH>
                <wp:positionV relativeFrom="line">
                  <wp:align>top</wp:align>
                </wp:positionV>
                <wp:extent cx="254000" cy="350520"/>
                <wp:effectExtent l="0" t="0" r="0" b="0"/>
                <wp:wrapSquare wrapText="right"/>
                <wp:docPr id="326" name="Frame3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c)</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c)</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the Company are presented in United States dollars. The functional currency of the Company is the United States dollar; however, a significant amount of the Company’s vendors and expenses have been paid in Canadian dollars and the difference between the amount paid in Canadian dollars and reported in United States dollars related to the exchange rates on the dates such payments were made has been reflected in the accompanying statements of operations of the respective period within the account labeled gain (loss) on foreign currency transactions.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Emerging growth company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30">
                <wp:simplePos x="0" y="0"/>
                <wp:positionH relativeFrom="column">
                  <wp:align>left</wp:align>
                </wp:positionH>
                <wp:positionV relativeFrom="line">
                  <wp:align>top</wp:align>
                </wp:positionV>
                <wp:extent cx="254000" cy="350520"/>
                <wp:effectExtent l="0" t="0" r="0" b="0"/>
                <wp:wrapSquare wrapText="right"/>
                <wp:docPr id="327" name="Frame3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d)</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d)</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an “Emerging Growth Company”, as defined in Section 2(a) of the Securities Act of 1933, as amended (the “Securities Act”), as modified by the Jumpstart Our Business Startups Act of 2012 (the “JOBS Act”), and it has taken advantage of certain exemptions that are not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Section 102(b) (1)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reporting standards. The JOBS Act provides that a company can elect to opt out of the extended transition period and comply with the requirements that apply to non-emerging growth companies but any such election to opt out is irrevocable.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elected not to opt out of such extended transition period which means that when a standard is issued or revised and it has different application dates for public and private companies, the Company, as an emerging growth company, can adopt the new or revised standard at the time private companies adopt the new or revised standard.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estimates and judgments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331">
                <wp:simplePos x="0" y="0"/>
                <wp:positionH relativeFrom="column">
                  <wp:align>left</wp:align>
                </wp:positionH>
                <wp:positionV relativeFrom="line">
                  <wp:align>top</wp:align>
                </wp:positionV>
                <wp:extent cx="254000" cy="350520"/>
                <wp:effectExtent l="0" t="0" r="0" b="0"/>
                <wp:wrapSquare wrapText="right"/>
                <wp:docPr id="328"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e)</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e)</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financial statements in conformity with U.S. GAAP requires the Company’s management to make judgments, estimates and assumptions, about future events that may impact the amounts reported in the financial statements. Actual results may differ from these estimates. Estimates and underlying assumptions are reviewed on an ongoing basis. Revisions to estimates are made prospectively.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PRESENTATION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32">
                <wp:simplePos x="0" y="0"/>
                <wp:positionH relativeFrom="column">
                  <wp:align>left</wp:align>
                </wp:positionH>
                <wp:positionV relativeFrom="line">
                  <wp:align>top</wp:align>
                </wp:positionV>
                <wp:extent cx="254000" cy="175260"/>
                <wp:effectExtent l="0" t="0" r="0" b="0"/>
                <wp:wrapSquare wrapText="right"/>
                <wp:docPr id="329" name="Frame324"/>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Key estimates made by management with respect to the areas noted have been disclosed in the notes to the financial statements.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333">
                <wp:simplePos x="0" y="0"/>
                <wp:positionH relativeFrom="column">
                  <wp:align>left</wp:align>
                </wp:positionH>
                <wp:positionV relativeFrom="line">
                  <wp:align>top</wp:align>
                </wp:positionV>
                <wp:extent cx="254000" cy="350520"/>
                <wp:effectExtent l="0" t="0" r="0" b="0"/>
                <wp:wrapSquare wrapText="right"/>
                <wp:docPr id="330" name="Frame3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Cash</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34">
                <wp:simplePos x="0" y="0"/>
                <wp:positionH relativeFrom="column">
                  <wp:align>left</wp:align>
                </wp:positionH>
                <wp:positionV relativeFrom="line">
                  <wp:align>top</wp:align>
                </wp:positionV>
                <wp:extent cx="254000" cy="350520"/>
                <wp:effectExtent l="0" t="0" r="0" b="0"/>
                <wp:wrapSquare wrapText="right"/>
                <wp:docPr id="331" name="Frame3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includes cash on hand, deposits held with banks, and when applicable, short-term, highly liquid deposits which are either cashable or with original maturities of less than three months. There are no cash equivalents as of November 2025. At times, the Company’s cash balance exceeds the federally insured limits. The total uninsured cash balance as of November 30, 2025 was $980,411 (November 30, 2024 — $Nil).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Impairment of long-lived assets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335">
                <wp:simplePos x="0" y="0"/>
                <wp:positionH relativeFrom="column">
                  <wp:align>left</wp:align>
                </wp:positionH>
                <wp:positionV relativeFrom="line">
                  <wp:align>top</wp:align>
                </wp:positionV>
                <wp:extent cx="254000" cy="350520"/>
                <wp:effectExtent l="0" t="0" r="0" b="0"/>
                <wp:wrapSquare wrapText="right"/>
                <wp:docPr id="332" name="Frame3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b)</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b)</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Long-lived assets or asset groups held and used by the Company are reviewed for possible impairment whenever events or circumstances indicate the carrying amount of an asset may not be recoverable or is impaired. Circumstances that could trigger a review include, but are not limited to: significant decreases in the market price of the assets; significant adverse changes in the business climate or legal factors; accumulation of costs significantly in excess of the amount originally expected for the acquisition or construction of the assets; current period cash flow or operating losses combined with a history of losses or a forecast of continuing losses associated with the use of the assets; and current expectation that the assets will more likely than not be sold or disposed significantly before the end of their estimated useful life.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indicators of potential impairment are present the Company prepares a projected undiscounted cash flow analysis for the respective asset or asset group. If the sum of the undiscounted cash flows is less than the carrying value of the asset or asset group, an impairment loss is recognized equal to the excess of the carrying value over the fair value, if any. Fair value can be determined using discounted cash flows of future operating results based upon a rate that corresponds to the cost of capital. Recognized impairment losses are not reversed. During the period from December 14, 2023 through November 30, 2024, an impairment of $70,000 was incurred on the mineral rights (Note 4).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instruments measurements and fair value of financial instruments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36">
                <wp:simplePos x="0" y="0"/>
                <wp:positionH relativeFrom="column">
                  <wp:align>left</wp:align>
                </wp:positionH>
                <wp:positionV relativeFrom="line">
                  <wp:align>top</wp:align>
                </wp:positionV>
                <wp:extent cx="254000" cy="350520"/>
                <wp:effectExtent l="0" t="0" r="0" b="0"/>
                <wp:wrapSquare wrapText="right"/>
                <wp:docPr id="333" name="Frame3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c)</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c)</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instrument is any contract that gives rise to a financial asset of one entity and a financial liability or equity instrument of another entity.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classified and measured at fair value with subsequent changes in fair value recognized in either profit and loss as they arise unless restrictive criteria are met for classifying and measuring the asset at either amortized cost or fair value through other comprehensive income. Financial liabilities are measured at amortized costs unless they are elected to be or required to be measured at fair value through profit and loss.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derecognized when the rights to receive cash flows from the assets have expired or have been transferred, and the Company has transferred all risks and rewards of ownership. Financial liabilities are derecognized when the obligations specified in the contract are discharged, cancelled, or expire.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ASC 820, </w:t>
      </w:r>
      <w:r>
        <w:rPr>
          <w:rFonts w:ascii="Times New Roman;Times;serif" w:hAnsi="Times New Roman;Times;serif"/>
          <w:b w:val="false"/>
          <w:i/>
          <w:caps w:val="false"/>
          <w:smallCaps w:val="false"/>
          <w:color w:val="000000"/>
          <w:spacing w:val="4"/>
          <w:sz w:val="20"/>
        </w:rPr>
        <w:t>Fair Value Measurements and Disclosures</w:t>
      </w:r>
      <w:r>
        <w:rPr>
          <w:rFonts w:ascii="Times New Roman;Times;serif" w:hAnsi="Times New Roman;Times;serif"/>
          <w:b w:val="false"/>
          <w:i w:val="false"/>
          <w:caps w:val="false"/>
          <w:smallCaps w:val="false"/>
          <w:color w:val="000000"/>
          <w:spacing w:val="4"/>
          <w:sz w:val="20"/>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37">
                <wp:simplePos x="0" y="0"/>
                <wp:positionH relativeFrom="column">
                  <wp:align>left</wp:align>
                </wp:positionH>
                <wp:positionV relativeFrom="line">
                  <wp:align>top</wp:align>
                </wp:positionV>
                <wp:extent cx="254000" cy="175260"/>
                <wp:effectExtent l="0" t="0" r="0" b="0"/>
                <wp:wrapSquare wrapText="right"/>
                <wp:docPr id="334" name="Frame329"/>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that market participants would use in pricing the asset or liability and are developed based on the best information available in the circumstances.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ASC 820 establishes a three-tier fair value hierarchy that distinguishes between the following, based on the nature of the valuation inputs: </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1: quoted prices (unadjusted) for identical assets or liabilities in active markets; </w:t>
      </w:r>
      <w:r>
        <mc:AlternateContent>
          <mc:Choice Requires="wps">
            <w:drawing>
              <wp:anchor behindDoc="0" distT="8128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5"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2: inputs other than quoted prices included within Level 1 that are observable for the asset or liability, either directly or indirectly; and, </w:t>
      </w:r>
      <w:r>
        <mc:AlternateContent>
          <mc:Choice Requires="wps">
            <w:drawing>
              <wp:anchor behindDoc="0" distT="8128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6"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3: one or more significant inputs used in a valuation technique are unobservable in determining fair values of the asset or liability. </w:t>
      </w:r>
      <w:r>
        <mc:AlternateContent>
          <mc:Choice Requires="wps">
            <w:drawing>
              <wp:anchor behindDoc="0" distT="8128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7"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Determination of fair value and the resulting hierarchy requires the use of observable market data where available. The classification of an asset or liability in the hierarchy is based on the lowest level of input that is significant to the fair value measurement.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w:t>
      </w:r>
    </w:p>
    <w:p>
      <w:pPr>
        <w:pStyle w:val="TextBody"/>
        <w:bidi w:val="0"/>
        <w:spacing w:lineRule="atLeast" w:line="240" w:before="24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Income taxes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7480" distB="0" distL="0" distR="0" simplePos="0" locked="0" layoutInCell="1" allowOverlap="1" relativeHeight="341">
                <wp:simplePos x="0" y="0"/>
                <wp:positionH relativeFrom="column">
                  <wp:align>left</wp:align>
                </wp:positionH>
                <wp:positionV relativeFrom="line">
                  <wp:align>top</wp:align>
                </wp:positionV>
                <wp:extent cx="254000" cy="350520"/>
                <wp:effectExtent l="0" t="0" r="0" b="0"/>
                <wp:wrapSquare wrapText="right"/>
                <wp:docPr id="338" name="Frame3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d)</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4pt;mso-wrap-distance-bottom:0pt;margin-top:12.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d)</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tax provision consists of taxes currently payable or receivable, plus any change during the period in deferred tax assets and liabilities. The Company uses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addition, a valuation allowance is established to reduce any deferred tax asset for which it is determined that is it more likely than not that some portion of the deferred tax asset will not be realized.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ordinary course of business, there are many transactions and calculations for which the ultimate tax determination is uncertain. Accounting for income taxes requires a two-step approach to recognizing and measuring uncertain tax positions. The first step is to evaluate the tax position for recognition by determining if available evidence indicates it is more likely than not that the tax position will be fully sustained upon review by taxing authorities, including resolution of related appeals or litigation processes, if any. The second step is to measure the tax benefit as the largest amount with a greater than 50 percent likelihood of being realized upon ultimate settlement. For tax positions that are 50 percent or less likely of being sustained upon audit, the Company does not recognize any portion of that benefit in the financial statements. The Company is not aware of any issues under review that could result in significant payments, accruals or a material deviation from its position. The Company is subject to income tax examinations by taxing authorities for the tax years ended 2024 and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42">
                <wp:simplePos x="0" y="0"/>
                <wp:positionH relativeFrom="column">
                  <wp:align>left</wp:align>
                </wp:positionH>
                <wp:positionV relativeFrom="line">
                  <wp:align>top</wp:align>
                </wp:positionV>
                <wp:extent cx="254000" cy="175260"/>
                <wp:effectExtent l="0" t="0" r="0" b="0"/>
                <wp:wrapSquare wrapText="right"/>
                <wp:docPr id="339" name="Frame334"/>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Loss per share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7000" distB="0" distL="0" distR="0" simplePos="0" locked="0" layoutInCell="1" allowOverlap="1" relativeHeight="343">
                <wp:simplePos x="0" y="0"/>
                <wp:positionH relativeFrom="column">
                  <wp:align>left</wp:align>
                </wp:positionH>
                <wp:positionV relativeFrom="line">
                  <wp:align>top</wp:align>
                </wp:positionV>
                <wp:extent cx="254000" cy="350520"/>
                <wp:effectExtent l="0" t="0" r="0" b="0"/>
                <wp:wrapSquare wrapText="right"/>
                <wp:docPr id="340" name="Frame3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e)</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e)</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Basic earnings (loss) per share (“EPS”) is calculated by dividing profit or loss attributable to common equity holders (numerator) by the weighted average number of common shares outstanding (denominator) during the period. The denominator is calculated by adjusting the shares issued at the beginning of the period by the number of shares issued or bought back during the period, multiplied by a time-weighting factor.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Diluted EPS is calculated by adjusting the earnings and number of shares for the effects of dilutive options and other dilutive potential units. The effects of anti-dilutive options and potential units are ignored in calculating diluted EPS. All options and potential units are considered anti-dilutive when the Company is in a loss position.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had no anti-dilutive securities as of November 30, 2025 and 2024.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Offering cost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44">
                <wp:simplePos x="0" y="0"/>
                <wp:positionH relativeFrom="column">
                  <wp:align>left</wp:align>
                </wp:positionH>
                <wp:positionV relativeFrom="line">
                  <wp:align>top</wp:align>
                </wp:positionV>
                <wp:extent cx="254000" cy="350520"/>
                <wp:effectExtent l="0" t="0" r="0" b="0"/>
                <wp:wrapSquare wrapText="right"/>
                <wp:docPr id="341" name="Frame3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f)</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f)</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complies with the requirements of ASC 340-10-S99-1 and Securities and Exchange Commission (“SEC”) Staff Accounting Bulletin Topic 5A — </w:t>
      </w:r>
      <w:r>
        <w:rPr>
          <w:rFonts w:ascii="Times New Roman;Times;serif" w:hAnsi="Times New Roman;Times;serif"/>
          <w:b w:val="false"/>
          <w:i/>
          <w:caps w:val="false"/>
          <w:smallCaps w:val="false"/>
          <w:color w:val="000000"/>
          <w:spacing w:val="4"/>
          <w:sz w:val="20"/>
        </w:rPr>
        <w:t>Expenses of Offering</w:t>
      </w:r>
      <w:r>
        <w:rPr>
          <w:rFonts w:ascii="Times New Roman;Times;serif" w:hAnsi="Times New Roman;Times;serif"/>
          <w:b w:val="false"/>
          <w:i w:val="false"/>
          <w:caps w:val="false"/>
          <w:smallCaps w:val="false"/>
          <w:color w:val="000000"/>
          <w:spacing w:val="4"/>
          <w:sz w:val="20"/>
        </w:rPr>
        <w:t xml:space="preserve">. Offering costs associated with the issuance of common stock were charged against the proceeds received from and carrying value of the common stock.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45">
                <wp:simplePos x="0" y="0"/>
                <wp:positionH relativeFrom="column">
                  <wp:align>left</wp:align>
                </wp:positionH>
                <wp:positionV relativeFrom="line">
                  <wp:align>top</wp:align>
                </wp:positionV>
                <wp:extent cx="254000" cy="350520"/>
                <wp:effectExtent l="0" t="0" r="0" b="0"/>
                <wp:wrapSquare wrapText="right"/>
                <wp:docPr id="342" name="Frame3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g)</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g)</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identifies and discloses all related party transactions. Parties, which can be a corporation or individual, are considered to be related if the Company has the ability, directly or indirectly, to control the other party or exercise significant influence over the other party in making financial and operational decisions. Companies are also considered to be related if they are subject to common control or common significant influence.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Leases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46">
                <wp:simplePos x="0" y="0"/>
                <wp:positionH relativeFrom="column">
                  <wp:align>left</wp:align>
                </wp:positionH>
                <wp:positionV relativeFrom="line">
                  <wp:align>top</wp:align>
                </wp:positionV>
                <wp:extent cx="254000" cy="350520"/>
                <wp:effectExtent l="0" t="0" r="0" b="0"/>
                <wp:wrapSquare wrapText="right"/>
                <wp:docPr id="343" name="Frame3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h)</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h)</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determines if an arrangement contains a lease at inception as defined by ASC 842, </w:t>
      </w:r>
      <w:r>
        <w:rPr>
          <w:rFonts w:ascii="Times New Roman;Times;serif" w:hAnsi="Times New Roman;Times;serif"/>
          <w:b w:val="false"/>
          <w:i/>
          <w:caps w:val="false"/>
          <w:smallCaps w:val="false"/>
          <w:color w:val="000000"/>
          <w:spacing w:val="4"/>
          <w:sz w:val="20"/>
        </w:rPr>
        <w:t>Leases</w:t>
      </w:r>
      <w:r>
        <w:rPr>
          <w:rFonts w:ascii="Times New Roman;Times;serif" w:hAnsi="Times New Roman;Times;serif"/>
          <w:b w:val="false"/>
          <w:i w:val="false"/>
          <w:caps w:val="false"/>
          <w:smallCaps w:val="false"/>
          <w:color w:val="000000"/>
          <w:spacing w:val="4"/>
          <w:sz w:val="20"/>
        </w:rPr>
        <w:t xml:space="preserve"> (“ASC 842”). To meet the definition of a lease under ASC 842, the contractual arrangement must convey to the Company the right to control the use of an identifiable asset for a period of time in exchange for consideration. Right of Use (“ROU”) assets represent the right to use an underlying asset for the lease term, and lease liabilities represent the obligation to make lease payments arising from the lease. ROU assets and liabilities are recognized at the lease commencement date based on the estimated present value of lease payments over the lease term.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Mineral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347">
                <wp:simplePos x="0" y="0"/>
                <wp:positionH relativeFrom="column">
                  <wp:align>left</wp:align>
                </wp:positionH>
                <wp:positionV relativeFrom="line">
                  <wp:align>top</wp:align>
                </wp:positionV>
                <wp:extent cx="254000" cy="350520"/>
                <wp:effectExtent l="0" t="0" r="0" b="0"/>
                <wp:wrapSquare wrapText="right"/>
                <wp:docPr id="344" name="Frame3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i)</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i)</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of exploration, carrying and retaining unproven mineral rights and properties are expensed as incurred. The Company expenses all mineral exploration costs as incurred as it is still in the exploration stage. If the Company identifies proven and probable reserves in its investigation of its properties and upon development of a plan for operating a mine, it will enter the development stage and capitalize future costs until production is established. When a property reaches the production stage, the related capitalized costs are amortized on a units-of-production basis over the proven and probable reserves following the commencement of production.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date, the Company has not established the commercial feasibility of any exploration prospects; therefore, all exploration costs are being expensed.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48">
                <wp:simplePos x="0" y="0"/>
                <wp:positionH relativeFrom="column">
                  <wp:align>left</wp:align>
                </wp:positionH>
                <wp:positionV relativeFrom="line">
                  <wp:align>top</wp:align>
                </wp:positionV>
                <wp:extent cx="254000" cy="175260"/>
                <wp:effectExtent l="0" t="0" r="0" b="0"/>
                <wp:wrapSquare wrapText="right"/>
                <wp:docPr id="345" name="Frame340"/>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2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ASC 930-805, </w:t>
      </w:r>
      <w:r>
        <w:rPr>
          <w:rFonts w:ascii="Times New Roman;Times;serif" w:hAnsi="Times New Roman;Times;serif"/>
          <w:b w:val="false"/>
          <w:i/>
          <w:caps w:val="false"/>
          <w:smallCaps w:val="false"/>
          <w:color w:val="000000"/>
          <w:spacing w:val="4"/>
          <w:sz w:val="20"/>
        </w:rPr>
        <w:t>Extractive Activities-Mining: Business Combinations</w:t>
      </w:r>
      <w:r>
        <w:rPr>
          <w:rFonts w:ascii="Times New Roman;Times;serif" w:hAnsi="Times New Roman;Times;serif"/>
          <w:b w:val="false"/>
          <w:i w:val="false"/>
          <w:caps w:val="false"/>
          <w:smallCaps w:val="false"/>
          <w:color w:val="000000"/>
          <w:spacing w:val="4"/>
          <w:sz w:val="20"/>
        </w:rPr>
        <w:t xml:space="preserve"> (“ASC 930-805”) states that mineral rights comprise the legal right to explore, extract, and retain at least a portion of the benefits from mineral deposits. Mining assets include mineral rights and properties which are considered tangible assets under ASC 930-805. Further, ASC 930-805 requires that mineral assets or rights be recognized at fair value as of the acquisition date. As a result, the direct costs to acquire mineral rights and properties are initially capitalized as tangible assets. Mineral rights and properties include costs associated with acquiring patented and unpatented mining claims.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years ended November 30, 2025 and 2024, the Company has incurred acquisition costs for mineral rights of $1,201,390 and $70,000, respectively. The $70,000 incurred in the prior period was subsequently written off due to impairment as of November 30, 2024 (see Note 4). </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Redeemable common stock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right"/>
                <wp:docPr id="346" name="Frame3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j)</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j)</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accounts for its redeemable common stock in accordance with the guidance of ASC 480, </w:t>
      </w:r>
      <w:r>
        <w:rPr>
          <w:rFonts w:ascii="Times New Roman;Times;serif" w:hAnsi="Times New Roman;Times;serif"/>
          <w:b w:val="false"/>
          <w:i/>
          <w:caps w:val="false"/>
          <w:smallCaps w:val="false"/>
          <w:color w:val="000000"/>
          <w:spacing w:val="4"/>
          <w:sz w:val="20"/>
        </w:rPr>
        <w:t>Distinguishing Liabilities from Equity</w:t>
      </w:r>
      <w:r>
        <w:rPr>
          <w:rFonts w:ascii="Times New Roman;Times;serif" w:hAnsi="Times New Roman;Times;serif"/>
          <w:b w:val="false"/>
          <w:i w:val="false"/>
          <w:caps w:val="false"/>
          <w:smallCaps w:val="false"/>
          <w:color w:val="000000"/>
          <w:spacing w:val="4"/>
          <w:sz w:val="20"/>
        </w:rPr>
        <w:t xml:space="preserve"> (“ASC 480”). Shares of common stock subject to mandatory redemption, if any,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Certain common stock of the Company features certain redemption rights that are considered to be outside of the Company’s control and subject to occurrence of uncertain future events. Accordingly, such redeemable common stock is presented at redemption value as mezzanine equity, outside of the stockholders’ equity (deficit) section of the Company’s balance sheets. </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Subsequent Events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347" name="Frame3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k)</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k)</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evaluated subsequent events through the date in which the financial statements were issued (see Note 13). </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Recent accounting pronouncements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348"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l)</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l)</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November 2023, the FASB issued ASU No. 2023-07, </w:t>
      </w:r>
      <w:r>
        <w:rPr>
          <w:rFonts w:ascii="Times New Roman;Times;serif" w:hAnsi="Times New Roman;Times;serif"/>
          <w:b w:val="false"/>
          <w:i/>
          <w:caps w:val="false"/>
          <w:smallCaps w:val="false"/>
          <w:color w:val="000000"/>
          <w:spacing w:val="4"/>
          <w:sz w:val="20"/>
        </w:rPr>
        <w:t>Segment Reporting (Topic 280) — Improvements to Reportable Segment Disclosures</w:t>
      </w:r>
      <w:r>
        <w:rPr>
          <w:rFonts w:ascii="Times New Roman;Times;serif" w:hAnsi="Times New Roman;Times;serif"/>
          <w:b w:val="false"/>
          <w:i w:val="false"/>
          <w:caps w:val="false"/>
          <w:smallCaps w:val="false"/>
          <w:color w:val="000000"/>
          <w:spacing w:val="4"/>
          <w:sz w:val="20"/>
        </w:rPr>
        <w:t xml:space="preserve"> (“ASU 2023-07”), which requires an enhanced disclosure of segments on an annual and interim basis, including the title of the chief operating decision maker, significant segment expenses, and the composition of other segment items for each segment’s reported profit. The Company adopted ASU 2023-07 as of December 1, 2024, which had no material impact on the Company’s financial statements.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ASC 280, </w:t>
      </w:r>
      <w:r>
        <w:rPr>
          <w:rFonts w:ascii="Times New Roman;Times;serif" w:hAnsi="Times New Roman;Times;serif"/>
          <w:b w:val="false"/>
          <w:i/>
          <w:caps w:val="false"/>
          <w:smallCaps w:val="false"/>
          <w:color w:val="000000"/>
          <w:spacing w:val="4"/>
          <w:sz w:val="20"/>
        </w:rPr>
        <w:t>Segment Reporting</w:t>
      </w:r>
      <w:r>
        <w:rPr>
          <w:rFonts w:ascii="Times New Roman;Times;serif" w:hAnsi="Times New Roman;Times;serif"/>
          <w:b w:val="false"/>
          <w:i w:val="false"/>
          <w:caps w:val="false"/>
          <w:smallCaps w:val="false"/>
          <w:color w:val="000000"/>
          <w:spacing w:val="4"/>
          <w:sz w:val="20"/>
        </w:rPr>
        <w:t xml:space="preserve"> (“ASC 280”), establishes standards for the way that public business enterprises report information about operating segments in their annual financial statements and requires that those enterprises report selected information about operating segments in interim financial reports. ASC 280 also establishes standards for related disclosures about products and services, geographic areas, and major customers. The Company’s business segments are based on the organization structure used by the chief operating decision maker for making operating and investment decisions and for assessing performance. Our Chief Executive Officer, who is our chief operating decision maker, views the Company’s operations and manages its business in one operating segment, which is principally mineral exploration and development in North America.</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MINERAL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7000" distB="0" distL="0" distR="0" simplePos="0" locked="0" layoutInCell="1" allowOverlap="1" relativeHeight="352">
                <wp:simplePos x="0" y="0"/>
                <wp:positionH relativeFrom="column">
                  <wp:align>left</wp:align>
                </wp:positionH>
                <wp:positionV relativeFrom="line">
                  <wp:align>top</wp:align>
                </wp:positionV>
                <wp:extent cx="254000" cy="350520"/>
                <wp:effectExtent l="0" t="0" r="0" b="0"/>
                <wp:wrapSquare wrapText="right"/>
                <wp:docPr id="349"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Fish Lake Valley Property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12, 2024, the Company entered into a property option agreement with Acme Lithium US Inc. (“Acme”), whereby Acme agreed to grant the Company the sole, exclusive option to acquire their 100% interest in 207 lode claims at the Fish Lake Valley property located in Esmerelda County, Nevada. The agreement was amended on June 14, 2024 (the “Fish Lake Valley Effective Date”). The Company paid $20,000 as consideration for entering into an amended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the option, the Company is required to make a series of cash payments, issuance of common shares of the Company with a total value of $3,300,000, and the incurrence of expenditures towards mining operations in respect of the Fish Lake Valley Property. The breakdown of payments and issuance of common shares are as follows: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$50,000 within five days of the Fish Lake Valley Effective Date (paid); </w:t>
      </w:r>
      <w:r>
        <mc:AlternateContent>
          <mc:Choice Requires="wps">
            <w:drawing>
              <wp:anchor behindDoc="0" distT="7366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50"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$100,000 within six months of the Fish Lake Valley Effective Date; </w:t>
      </w:r>
      <w:r>
        <mc:AlternateContent>
          <mc:Choice Requires="wps">
            <w:drawing>
              <wp:anchor behindDoc="0" distT="7366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51"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Incur $500,000 in expenditures toward mining operations of the Property, on or before the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first-year anniversary of the Fish Lake Valley Effective Date; </w:t>
      </w:r>
      <w:r>
        <mc:AlternateContent>
          <mc:Choice Requires="wps">
            <w:drawing>
              <wp:anchor behindDoc="0" distT="7366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2"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$450,000 and issue common shares of the Company equal to $675,000, on the date the Company completes an initial public offering or otherwise becomes listed on a stock exchange (the “Listing Date”), using a deemed price per share on the Listing Date equal to: </w:t>
      </w:r>
      <w:r>
        <mc:AlternateContent>
          <mc:Choice Requires="wps">
            <w:drawing>
              <wp:anchor behindDoc="0" distT="7366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3"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per share of the Company’s common share used in the Company’s initial public offering </w:t>
      </w:r>
      <w:r>
        <mc:AlternateContent>
          <mc:Choice Requires="wps">
            <w:drawing>
              <wp:anchor behindDoc="0" distT="73660" distB="0" distL="508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54"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deemed transaction price per share of the Company’s common shares in the event the listing is competed by way of a reverse takeover, merger or business combination; or </w:t>
      </w:r>
      <w:r>
        <mc:AlternateContent>
          <mc:Choice Requires="wps">
            <w:drawing>
              <wp:anchor behindDoc="0" distT="73660" distB="0" distL="508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5"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reference price per share of the Company’s common share calculated in accordance with the stock exchange’s policies in the event the listing is completed by way of a direct listing on the stock exchange </w:t>
      </w:r>
      <w:r>
        <mc:AlternateContent>
          <mc:Choice Requires="wps">
            <w:drawing>
              <wp:anchor behindDoc="0" distT="73660" distB="0" distL="508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6"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$375,000 and issue common shares of the Company equal to $1,312,500, based on the volume-weighted average trading price of the Company’s common shares for the previous ten trading days, on or before the first-year anniversary of the Listing Date; and </w:t>
      </w:r>
      <w:r>
        <mc:AlternateContent>
          <mc:Choice Requires="wps">
            <w:drawing>
              <wp:anchor behindDoc="0" distT="7366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7"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$500,000 and issue common shares of the Company equal to $1,312,500, based on the volume-weighted average trading price of the Company’s common shares for the previous ten trading days, on or before the second-year anniversary of the Listing Date. </w:t>
      </w:r>
      <w:r>
        <mc:AlternateContent>
          <mc:Choice Requires="wps">
            <w:drawing>
              <wp:anchor behindDoc="0" distT="7366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8"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Optionor will receive Net Smelter Returns Royalty (“NSR Royalty”) equal to 1.0% of Net Smelter Returns.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capitalized the following acquisition costs during the period from December 14, 2023 (inception) through November 30, 2024 and 2025. </w:t>
      </w:r>
    </w:p>
    <w:tbl>
      <w:tblPr>
        <w:tblW w:w="5908" w:type="dxa"/>
        <w:jc w:val="left"/>
        <w:tblInd w:w="1393" w:type="dxa"/>
        <w:tblLayout w:type="fixed"/>
        <w:tblCellMar>
          <w:top w:w="0" w:type="dxa"/>
          <w:left w:w="0" w:type="dxa"/>
          <w:bottom w:w="28" w:type="dxa"/>
          <w:right w:w="0" w:type="dxa"/>
        </w:tblCellMar>
      </w:tblPr>
      <w:tblGrid>
        <w:gridCol w:w="3909"/>
        <w:gridCol w:w="109"/>
        <w:gridCol w:w="109"/>
        <w:gridCol w:w="130"/>
        <w:gridCol w:w="270"/>
        <w:gridCol w:w="1097"/>
        <w:gridCol w:w="130"/>
        <w:gridCol w:w="154"/>
      </w:tblGrid>
      <w:tr>
        <w:trPr/>
        <w:tc>
          <w:tcPr>
            <w:tcW w:w="39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Fish Lake </w:t>
            </w:r>
            <w:r>
              <w:rPr/>
              <w:br/>
            </w:r>
            <w:r>
              <w:rPr>
                <w:spacing w:val="-3"/>
              </w:rPr>
              <w:t xml:space="preserve">Valley Property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09" w:type="dxa"/>
            <w:tcBorders/>
            <w:shd w:fill="CCEEFF" w:val="clear"/>
            <w:tcMar>
              <w:bottom w:w="0" w:type="dxa"/>
            </w:tcMar>
            <w:vAlign w:val="center"/>
          </w:tcPr>
          <w:p>
            <w:pPr>
              <w:pStyle w:val="TableContents"/>
              <w:bidi w:val="0"/>
              <w:spacing w:before="0" w:after="0"/>
              <w:jc w:val="left"/>
              <w:rPr/>
            </w:pPr>
            <w:r>
              <w:rPr>
                <w:spacing w:val="-4"/>
              </w:rPr>
              <w:t>Balance, December 14, 2023 (inception)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270" w:type="dxa"/>
            <w:tcBorders/>
            <w:shd w:fill="CCEEFF" w:val="clear"/>
            <w:tcMar>
              <w:bottom w:w="0" w:type="dxa"/>
            </w:tcMar>
            <w:vAlign w:val="center"/>
          </w:tcPr>
          <w:p>
            <w:pPr>
              <w:pStyle w:val="TableContents"/>
              <w:bidi w:val="0"/>
              <w:spacing w:before="0" w:after="283"/>
              <w:jc w:val="right"/>
              <w:rPr/>
            </w:pPr>
            <w:r>
              <w:rPr/>
              <w:t>$</w:t>
            </w:r>
          </w:p>
        </w:tc>
        <w:tc>
          <w:tcPr>
            <w:tcW w:w="1097"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09" w:type="dxa"/>
            <w:tcBorders/>
            <w:tcMar>
              <w:bottom w:w="0" w:type="dxa"/>
            </w:tcMar>
            <w:vAlign w:val="center"/>
          </w:tcPr>
          <w:p>
            <w:pPr>
              <w:pStyle w:val="TableContents"/>
              <w:bidi w:val="0"/>
              <w:spacing w:before="0" w:after="0"/>
              <w:ind w:left="200" w:right="0" w:hanging="0"/>
              <w:jc w:val="left"/>
              <w:rPr>
                <w:spacing w:val="4"/>
              </w:rPr>
            </w:pPr>
            <w:r>
              <w:rPr>
                <w:spacing w:val="4"/>
              </w:rPr>
              <w:t xml:space="preserve">Property option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270" w:type="dxa"/>
            <w:tcBorders/>
            <w:tcMar>
              <w:bottom w:w="0" w:type="dxa"/>
            </w:tcMar>
            <w:vAlign w:val="center"/>
          </w:tcPr>
          <w:p>
            <w:pPr>
              <w:pStyle w:val="TableContents"/>
              <w:bidi w:val="0"/>
              <w:spacing w:before="0" w:after="283"/>
              <w:jc w:val="right"/>
              <w:rPr/>
            </w:pPr>
            <w:r>
              <w:rPr/>
              <w:t>​</w:t>
            </w:r>
          </w:p>
        </w:tc>
        <w:tc>
          <w:tcPr>
            <w:tcW w:w="1097" w:type="dxa"/>
            <w:tcBorders/>
            <w:tcMar>
              <w:bottom w:w="0" w:type="dxa"/>
            </w:tcMar>
            <w:vAlign w:val="center"/>
          </w:tcPr>
          <w:p>
            <w:pPr>
              <w:pStyle w:val="TableContents"/>
              <w:bidi w:val="0"/>
              <w:spacing w:before="0" w:after="283"/>
              <w:jc w:val="right"/>
              <w:rPr/>
            </w:pPr>
            <w:r>
              <w:rPr/>
              <w:t>70,000</w:t>
            </w:r>
          </w:p>
        </w:tc>
        <w:tc>
          <w:tcPr>
            <w:tcW w:w="13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09"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Impairment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27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7" w:type="dxa"/>
            <w:tcBorders>
              <w:bottom w:val="single" w:sz="2" w:space="0" w:color="000000"/>
            </w:tcBorders>
            <w:shd w:fill="CCEEFF" w:val="clear"/>
            <w:tcMar>
              <w:bottom w:w="50" w:type="dxa"/>
            </w:tcMar>
            <w:vAlign w:val="center"/>
          </w:tcPr>
          <w:p>
            <w:pPr>
              <w:pStyle w:val="TableContents"/>
              <w:bidi w:val="0"/>
              <w:spacing w:before="0" w:after="283"/>
              <w:jc w:val="right"/>
              <w:rPr/>
            </w:pPr>
            <w:r>
              <w:rPr/>
              <w:t>(70,000)</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909" w:type="dxa"/>
            <w:tcBorders/>
            <w:tcMar>
              <w:bottom w:w="0" w:type="dxa"/>
            </w:tcMar>
            <w:vAlign w:val="center"/>
          </w:tcPr>
          <w:p>
            <w:pPr>
              <w:pStyle w:val="TableContents"/>
              <w:bidi w:val="0"/>
              <w:spacing w:before="0" w:after="0"/>
              <w:jc w:val="left"/>
              <w:rPr/>
            </w:pPr>
            <w:r>
              <w:rPr>
                <w:spacing w:val="-4"/>
              </w:rPr>
              <w:t>Balance, November 30, 2024 and 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270" w:type="dxa"/>
            <w:tcBorders>
              <w:bottom w:val="double" w:sz="8" w:space="0" w:color="000000"/>
            </w:tcBorders>
            <w:tcMar>
              <w:bottom w:w="50" w:type="dxa"/>
            </w:tcMar>
            <w:vAlign w:val="center"/>
          </w:tcPr>
          <w:p>
            <w:pPr>
              <w:pStyle w:val="TableContents"/>
              <w:bidi w:val="0"/>
              <w:spacing w:before="0" w:after="283"/>
              <w:jc w:val="right"/>
              <w:rPr/>
            </w:pPr>
            <w:r>
              <w:rPr/>
              <w:t>$</w:t>
            </w:r>
          </w:p>
        </w:tc>
        <w:tc>
          <w:tcPr>
            <w:tcW w:w="1097" w:type="dxa"/>
            <w:tcBorders>
              <w:bottom w:val="double" w:sz="8" w:space="0" w:color="000000"/>
            </w:tcBorders>
            <w:tcMar>
              <w:bottom w:w="5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MINERAL RIGHTS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62">
                <wp:simplePos x="0" y="0"/>
                <wp:positionH relativeFrom="column">
                  <wp:align>left</wp:align>
                </wp:positionH>
                <wp:positionV relativeFrom="line">
                  <wp:align>top</wp:align>
                </wp:positionV>
                <wp:extent cx="254000" cy="175260"/>
                <wp:effectExtent l="0" t="0" r="0" b="0"/>
                <wp:wrapSquare wrapText="right"/>
                <wp:docPr id="359" name="Frame354"/>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b/>
                              </w:rPr>
                            </w:pPr>
                            <w:r>
                              <w:rPr>
                                <w:b/>
                                <w:spacing w:val="-4"/>
                              </w:rPr>
                              <w:t>4.</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w:t>
                      </w:r>
                      <w:r>
                        <w:rPr>
                          <w:b/>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period from December 14, 2023 (inception) through November 30, 2024, an impairment of $70,000 on the property option agreement was incurred as a result of the Company’s decision to not pursue this project any further. On December 14, 2024, the Company terminated the property option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Aurora Uranium Project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18, 2024 (the “Aurora Effective Date”), the Company entered into a property option agreement (the “Aurora Option Agreement”) with Aurora Energy Metals Ltd. (“Aurora Energy”) and its wholly owned subsidiary Oregon Energy LLC (“Oregon Energy”) who, through Oregon Energy, is the owner of 100% interest in the Aurora Uranium project composed of 365 mining claims. As part of the Aurora Option Agreement, Aurora Energy, agreed to grant the Company the sole, exclusive option to acquire all of the issued and outstanding equity interests in Oregon Energy. Upon exercise of the option, the Company would acquire 100% of Oregon Energy including all of its right, title and interest in the Aurora Uranium project.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the option, the Company must: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Aurora Energy a 1% NSR in the project’s future revenue, half or all of which may be repurchased by the company for consideration of $1,000,000 or $2,000,000, respectively, prior to commencement of the project’s commercial operations; </w:t>
      </w:r>
      <w:r>
        <mc:AlternateContent>
          <mc:Choice Requires="wps">
            <w:drawing>
              <wp:anchor behindDoc="0" distT="7239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60"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$300,000 cash consideration on or before December 18, 2024 (paid) </w:t>
      </w:r>
      <w:r>
        <mc:AlternateContent>
          <mc:Choice Requires="wps">
            <w:drawing>
              <wp:anchor behindDoc="0" distT="7239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61"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a measured and/or indicated SK1300 technical report and mineral resource estimate (an “SK1300 Report”) for the project, in accordance with the standards of Subpart 1300 of Regulation S-K of the Securities Act (completed); </w:t>
      </w:r>
      <w:r>
        <mc:AlternateContent>
          <mc:Choice Requires="wps">
            <w:drawing>
              <wp:anchor behindDoc="0" distT="7239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62"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shares of common stock in the Company with a value of $16,000,000 (“Aurora Option Payment Shares”) on the closing date of: </w:t>
      </w:r>
      <w:r>
        <mc:AlternateContent>
          <mc:Choice Requires="wps">
            <w:drawing>
              <wp:anchor behindDoc="0" distT="7239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63"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initial public offering of the Company’s shares and listing thereof on a national securities exchange, or </w:t>
      </w:r>
      <w:r>
        <mc:AlternateContent>
          <mc:Choice Requires="wps">
            <w:drawing>
              <wp:anchor behindDoc="0" distT="72390" distB="0" distL="508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4"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different transaction which results in the listing of the Company’s shares on a national securities exchange, or </w:t>
      </w:r>
      <w:r>
        <mc:AlternateContent>
          <mc:Choice Requires="wps">
            <w:drawing>
              <wp:anchor behindDoc="0" distT="72390" distB="0" distL="508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5"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of substantially all the Company’s outstanding equity securities or substantially all of the Company’s assets by a public company with common equity that is listed on a national securities exchange, in each case prior to May 18, 2025 (the “Listing Event”); and </w:t>
      </w:r>
      <w:r>
        <mc:AlternateContent>
          <mc:Choice Requires="wps">
            <w:drawing>
              <wp:anchor behindDoc="0" distT="72390" distB="0" distL="508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6"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Raise a minimum of $6,800,000 in connection with the Listing Event. </w:t>
      </w:r>
      <w:r>
        <mc:AlternateContent>
          <mc:Choice Requires="wps">
            <w:drawing>
              <wp:anchor behindDoc="0" distT="7239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7"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Aurora Option Payment Shares the Company will issue shall be calculated based on the initial listing price of the Company’s shares (or the trading price of the Company’s successor’s shares) upon completion of the Listing Event. If the Company identifies a measured and/or indicated SK1300 mineral resource of at least 40 million pounds of U3O8, the total value of the Aurora Option Payment Shares will increase by $4,000,000, bringing the aggregate value to $20,000,000. Each additional 1,000,000 pounds of U3O8 above 40 million pounds will further increase the total value of the Aurora Option Payment Shares by $200,000, up to a maximum of $1,000,000, resulting in an overall maximum of $21,000,000 (collectively, the “Resource Payment”).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also agreed to issue Aurora Energy additional Aurora Option Payment Shares based on any increase in the spot price of uranium between November 18, 2024 (the effective date of the Aurora Option Agreement), and the Listing Event, with the value of these Aurora Option Payment Shares being equal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MINERAL RIGHTS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71">
                <wp:simplePos x="0" y="0"/>
                <wp:positionH relativeFrom="column">
                  <wp:align>left</wp:align>
                </wp:positionH>
                <wp:positionV relativeFrom="line">
                  <wp:align>top</wp:align>
                </wp:positionV>
                <wp:extent cx="254000" cy="175260"/>
                <wp:effectExtent l="0" t="0" r="0" b="0"/>
                <wp:wrapSquare wrapText="right"/>
                <wp:docPr id="368" name="Frame363"/>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b/>
                              </w:rPr>
                            </w:pPr>
                            <w:r>
                              <w:rPr>
                                <w:b/>
                                <w:spacing w:val="-4"/>
                              </w:rPr>
                              <w:t>4.</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w:t>
                      </w:r>
                      <w:r>
                        <w:rPr>
                          <w:b/>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product of (I) 50% of the percentage increase in the spot price and (II) the number of Aurora Option Payment Shares associated with the initial $16,000,000 valuation. If the spot price does not increase, there will be no adjustment to the number of Aurora Option Payment Shares. Further, upon completion of a positive pre-feasibility study on the project following a Listing Event, the Company will issue Aurora additional Aurora Option Payment Shares with a value of $5,000,000, determined by the 30-day volume-weighted average trading price of our shares (or those of our successor) during the 30 days prior to the announcement of the pre-feasibility study.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Aurora Option Agreement will terminate, and we will forfeit our option, if we do not complete a Listing Event on or before May 18, 2025. However, the Company may extend the agreement by six months (up to two times) by making additional payments to Aurora Energy and allocations of funds to the Company’s mining operations. For the first six-month extension, the Company must pay Aurora Energy $300,000 and allocate $250,000 to Oregon Energy’s mining operations expenditures; for the second six-month extension, the Company must pay Aurora Energy $400,000 and allocate an additional $250,000 to those expenditures.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18, 2025, the Company exercised its right to the first six-month extension and made an additional payment of $300,000 to Aurora. On November 18, 2025, the Company exercised its right to the second six-month extension and made an additional payment of $400,000 to Aurora. As part of the extensions, the Company is obligated to reimburse up to $500,000 of mining operations expenditures of Oregon Energy. As of November 30, 2025, the Company has made reimbursements of $193,415, with a further $7,975 recorded in accounts payable and accrued liabilities.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2025, Oregon Energy received correspondences from the Bureau of Land Management in respect of 4 mining claims being declared null and void due to the lands being closed to mineral entry. As such, the Aurora Uranium Project consists of 361 mining claims currently.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26, 2025, the Company, Aurora Energy, and Oregon Energy executed a First Amendment to the Property Option Agreement. The amendment (i) revised the second extension to complete a Listing Event from a six month period (deadline of May 18, 2026) to a 225 day period (deadline of July 2, 2026), and (ii) provides that the Resource Payment provisions under which Aurora may be entitled to additional payment shares as mentioned above are amended such that the determination is made following the next newly prepared SK1300 mineral resource update published by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capitalized the following acquisition costs for the payments made to Aurora beginning on December 18, 2024 through November 30, 2025. </w:t>
      </w:r>
    </w:p>
    <w:tbl>
      <w:tblPr>
        <w:tblW w:w="6970" w:type="dxa"/>
        <w:jc w:val="left"/>
        <w:tblInd w:w="1393" w:type="dxa"/>
        <w:tblLayout w:type="fixed"/>
        <w:tblCellMar>
          <w:top w:w="0" w:type="dxa"/>
          <w:left w:w="0" w:type="dxa"/>
          <w:bottom w:w="28" w:type="dxa"/>
          <w:right w:w="0" w:type="dxa"/>
        </w:tblCellMar>
      </w:tblPr>
      <w:tblGrid>
        <w:gridCol w:w="5088"/>
        <w:gridCol w:w="109"/>
        <w:gridCol w:w="109"/>
        <w:gridCol w:w="109"/>
        <w:gridCol w:w="226"/>
        <w:gridCol w:w="1066"/>
        <w:gridCol w:w="109"/>
        <w:gridCol w:w="154"/>
      </w:tblGrid>
      <w:tr>
        <w:trPr/>
        <w:tc>
          <w:tcPr>
            <w:tcW w:w="50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Aurora </w:t>
            </w:r>
            <w:r>
              <w:rPr/>
              <w:br/>
            </w:r>
            <w:r>
              <w:rPr>
                <w:spacing w:val="-3"/>
              </w:rPr>
              <w:t xml:space="preserve">Uranium </w:t>
            </w:r>
            <w:r>
              <w:rPr/>
              <w:br/>
            </w:r>
            <w:r>
              <w:rPr>
                <w:spacing w:val="-3"/>
              </w:rPr>
              <w:t xml:space="preserve">Property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88" w:type="dxa"/>
            <w:tcBorders/>
            <w:shd w:fill="CCEEFF" w:val="clear"/>
            <w:tcMar>
              <w:bottom w:w="0" w:type="dxa"/>
            </w:tcMar>
            <w:vAlign w:val="center"/>
          </w:tcPr>
          <w:p>
            <w:pPr>
              <w:pStyle w:val="TableContents"/>
              <w:bidi w:val="0"/>
              <w:spacing w:before="0" w:after="0"/>
              <w:jc w:val="left"/>
              <w:rPr/>
            </w:pPr>
            <w:r>
              <w:rPr>
                <w:spacing w:val="-4"/>
              </w:rPr>
              <w:t>Balance, November 30, 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88" w:type="dxa"/>
            <w:tcBorders/>
            <w:tcMar>
              <w:bottom w:w="0" w:type="dxa"/>
            </w:tcMar>
            <w:vAlign w:val="center"/>
          </w:tcPr>
          <w:p>
            <w:pPr>
              <w:pStyle w:val="TableContents"/>
              <w:bidi w:val="0"/>
              <w:spacing w:before="0" w:after="0"/>
              <w:ind w:left="200" w:right="0" w:hanging="0"/>
              <w:jc w:val="left"/>
              <w:rPr>
                <w:spacing w:val="4"/>
              </w:rPr>
            </w:pPr>
            <w:r>
              <w:rPr>
                <w:spacing w:val="4"/>
              </w:rPr>
              <w:t xml:space="preserve">Property option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8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Reimbursement of mining operations expenditures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201,390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88" w:type="dxa"/>
            <w:tcBorders/>
            <w:tcMar>
              <w:bottom w:w="0" w:type="dxa"/>
            </w:tcMar>
            <w:vAlign w:val="center"/>
          </w:tcPr>
          <w:p>
            <w:pPr>
              <w:pStyle w:val="TableContents"/>
              <w:bidi w:val="0"/>
              <w:spacing w:before="0" w:after="0"/>
              <w:jc w:val="left"/>
              <w:rPr/>
            </w:pPr>
            <w:r>
              <w:rPr>
                <w:spacing w:val="-4"/>
              </w:rPr>
              <w:t>Balance, November 30, 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1,201,390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1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EQUITY (DEFICIT) AND MEZZANINE EQUITY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96850" distB="0" distL="0" distR="0" simplePos="0" locked="0" layoutInCell="1" allowOverlap="1" relativeHeight="372">
                <wp:simplePos x="0" y="0"/>
                <wp:positionH relativeFrom="column">
                  <wp:align>left</wp:align>
                </wp:positionH>
                <wp:positionV relativeFrom="line">
                  <wp:align>top</wp:align>
                </wp:positionV>
                <wp:extent cx="254000" cy="350520"/>
                <wp:effectExtent l="0" t="0" r="0" b="0"/>
                <wp:wrapSquare wrapText="right"/>
                <wp:docPr id="369" name="Frame3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5.5pt;mso-wrap-distance-bottom:0pt;margin-top:15.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50,000,000 shares of preferred stock authorized with a par value of $0.0001 per share. As of November 30, 2025 and 2024, the Company had no preferred stock issued and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EQUITY (DEFICIT) AND MEZZANINE EQUITY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73">
                <wp:simplePos x="0" y="0"/>
                <wp:positionH relativeFrom="column">
                  <wp:align>left</wp:align>
                </wp:positionH>
                <wp:positionV relativeFrom="line">
                  <wp:align>top</wp:align>
                </wp:positionV>
                <wp:extent cx="254000" cy="175260"/>
                <wp:effectExtent l="0" t="0" r="0" b="0"/>
                <wp:wrapSquare wrapText="right"/>
                <wp:docPr id="370" name="Frame365"/>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b/>
                              </w:rPr>
                            </w:pPr>
                            <w:r>
                              <w:rPr>
                                <w:b/>
                                <w:spacing w:val="-4"/>
                              </w:rPr>
                              <w:t>5.</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5.</w:t>
                      </w:r>
                      <w:r>
                        <w:rPr>
                          <w:b/>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350,000,000 shares of common stock authorized with a par value of $0.0001 per share. As of November 30, 2025 and 2024, the Company had 110,211,574 and 96,000,040 shares issued and outstanding, respectively, excluding 15,951,675 shares subject to possible redemption as of November 30, 2025.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Activities during the period from December 14, 2023 (inception) through November 30, 2024: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December 2023, the Company issued 408 incorporation shares, with a par value of $0.0001 per share, at a price of $0.00245 per share for total proceeds of $1.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February 2024, the Company completed a private placement offering of 89,081,291 common shares of the Company, with a par value of $0.0001 per share, at a price of $0.00245 per share for total proceeds of $218,250.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2024, the Company completed a private placement offering of 1,428,566 common shares of the Company, with a par value of $0.0001 per share, at a price of $0.00245 per share for total proceeds of $3,500.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October, 2024, the Company completed a private placement offering of 5,489,775 common shares of the Company, with a par value of $0.0001 per share, at a price of $0.0245 per share for total proceeds of $13,450.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also incurred $6,463 in share issuance costs related to the issuance of the shares during the period from December 14, 2023 (inception) through November 30, 2024.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Activities during the year ended November 30, 2025: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December 2024, the Company completed a private placement offering of 1,820,540 common shares of the Company, with a par value of $0.0001 per share, at a price of $0.61 per share for total proceeds of $1,110,529. Additionally, 300,000 bonus shares valued at $183,000, of which $167,750 was recognized as obligation to issue shares as of November 30, 2024, and $15,250 was recognized as professional fees in the statement of operations for the year ended November 30, 2025, were issued to a consultant for professional services rendered from January 2024 to December 2024.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2025, the Company completed another private placement offering of 2,794,173 common shares of the Company, with a par value of $0.0001 per share, at a price of $0.61 per share for total proceeds of $1,704,452.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2025, the Company completed a Regulation Crowdfunding offering (“Reg CF”) pursuant to Section 4(a)(6) of the Securities Act of 1933 and Regulation Crowdfunding thereunder. Through this offering, the Company issued a total of 7,692,086 common shares, with a par value of $0.0001 per share, at a price of $0.61 per share, for gross proceeds of $4,692,172. The shares issued are subject to transfer restrictions under applicable securities laws, including a one-year holding period for Reg CF investors.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May 2025, the Company issued an additional 453,055 common shares, with a par value of $0.0001 per share, under its Reg CF offering at a price of $0.61 per share, for gross proceeds of $276,364. Additionally, the Company completed a private placement offering of 380,870 common shares of the Company, with a par value of $0.0001 per share, at a price of USD $0.61 per share, for gross proceeds of $232,331.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EQUITY (DEFICIT) AND MEZZANINE EQUITY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74">
                <wp:simplePos x="0" y="0"/>
                <wp:positionH relativeFrom="column">
                  <wp:align>left</wp:align>
                </wp:positionH>
                <wp:positionV relativeFrom="line">
                  <wp:align>top</wp:align>
                </wp:positionV>
                <wp:extent cx="254000" cy="175260"/>
                <wp:effectExtent l="0" t="0" r="0" b="0"/>
                <wp:wrapSquare wrapText="right"/>
                <wp:docPr id="371" name="Frame366"/>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b/>
                              </w:rPr>
                            </w:pPr>
                            <w:r>
                              <w:rPr>
                                <w:b/>
                                <w:spacing w:val="-4"/>
                              </w:rPr>
                              <w:t>5.</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5.</w:t>
                      </w:r>
                      <w:r>
                        <w:rPr>
                          <w:b/>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also issued 200,000 shares with a deemed fair value of $0.61 per share as non-cash consideration for consulting services to be rendered from May 2025 to November 2025. As of November 30, 2025, $122,000 has been fully expensed.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November 30, 2025, the Company incurred a total of $579,370 in share issuance costs paid in cash related to its Reg CF offering and private placements. On May 29, 2025, the Company also issued 570,810 common shares with a deemed fair value of $0.61 per share to the agents in its Reg CF offering as compensation, which is included in share issuance costs.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Mezzanine equity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July 2025, the Company issued 15,951,675 common shares, with a par value of $0.0001 per share, to an investor pursuant to a Common Stock Purchase Agreement for total proceeds of $300,000. The issuance is in connection with the BCA between the Company and SVII (Note 1), with the shares expected to be exchanged for 2,750,000 common shares of the combined entity upon completion of the “de-SPAC” ​(Note 1). The shares are subject to automatic redemption if the business combination does not close. In accordance with the ASC 480-10-S99-3A, </w:t>
      </w:r>
      <w:r>
        <w:rPr>
          <w:rFonts w:ascii="Times New Roman;Times;serif" w:hAnsi="Times New Roman;Times;serif"/>
          <w:b w:val="false"/>
          <w:i/>
          <w:caps w:val="false"/>
          <w:smallCaps w:val="false"/>
          <w:color w:val="000000"/>
          <w:spacing w:val="4"/>
          <w:sz w:val="20"/>
        </w:rPr>
        <w:t>Classification and Measurement of Redeemable Securities</w:t>
      </w:r>
      <w:r>
        <w:rPr>
          <w:rFonts w:ascii="Times New Roman;Times;serif" w:hAnsi="Times New Roman;Times;serif"/>
          <w:b w:val="false"/>
          <w:i w:val="false"/>
          <w:caps w:val="false"/>
          <w:smallCaps w:val="false"/>
          <w:color w:val="000000"/>
          <w:spacing w:val="4"/>
          <w:sz w:val="20"/>
        </w:rPr>
        <w:t xml:space="preserve">, redemption provisions not solely within the control of the Company require the security to be classified outside of permanent equity. Immediately upon the closing of the private placement, the Company recognized a charge against additional paid-in capital of $170 for share issuance costs incurred in this private placement.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30, 2025, the amount of common stock subject to possible redemption reflected on the balance sheets is reconciled in the following table: </w:t>
      </w:r>
    </w:p>
    <w:tbl>
      <w:tblPr>
        <w:tblW w:w="8547" w:type="dxa"/>
        <w:jc w:val="left"/>
        <w:tblInd w:w="1393" w:type="dxa"/>
        <w:tblLayout w:type="fixed"/>
        <w:tblCellMar>
          <w:top w:w="0" w:type="dxa"/>
          <w:left w:w="0" w:type="dxa"/>
          <w:bottom w:w="0" w:type="dxa"/>
          <w:right w:w="0" w:type="dxa"/>
        </w:tblCellMar>
      </w:tblPr>
      <w:tblGrid>
        <w:gridCol w:w="124"/>
        <w:gridCol w:w="6721"/>
        <w:gridCol w:w="109"/>
        <w:gridCol w:w="109"/>
        <w:gridCol w:w="109"/>
        <w:gridCol w:w="226"/>
        <w:gridCol w:w="8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721" w:type="dxa"/>
            <w:tcBorders/>
            <w:shd w:fill="CCEEFF" w:val="clear"/>
            <w:vAlign w:val="center"/>
          </w:tcPr>
          <w:p>
            <w:pPr>
              <w:pStyle w:val="TableContents"/>
              <w:bidi w:val="0"/>
              <w:spacing w:before="0" w:after="0"/>
              <w:jc w:val="left"/>
              <w:rPr>
                <w:spacing w:val="4"/>
              </w:rPr>
            </w:pPr>
            <w:r>
              <w:rPr>
                <w:spacing w:val="4"/>
              </w:rPr>
              <w:t xml:space="preserve">Common stock subject to possible redemption, November 30, 2024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21" w:type="dxa"/>
            <w:tcBorders/>
            <w:vAlign w:val="center"/>
          </w:tcPr>
          <w:p>
            <w:pPr>
              <w:pStyle w:val="TableContents"/>
              <w:bidi w:val="0"/>
              <w:spacing w:before="0" w:after="0"/>
              <w:jc w:val="left"/>
              <w:rPr>
                <w:spacing w:val="4"/>
              </w:rPr>
            </w:pPr>
            <w:r>
              <w:rPr>
                <w:spacing w:val="4"/>
              </w:rPr>
              <w:t xml:space="preserve">Gross proceeds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300,000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21" w:type="dxa"/>
            <w:tcBorders/>
            <w:shd w:fill="CCEEFF" w:val="clear"/>
            <w:vAlign w:val="center"/>
          </w:tcPr>
          <w:p>
            <w:pPr>
              <w:pStyle w:val="TableContents"/>
              <w:bidi w:val="0"/>
              <w:spacing w:before="0" w:after="0"/>
              <w:jc w:val="left"/>
              <w:rPr>
                <w:spacing w:val="4"/>
              </w:rPr>
            </w:pPr>
            <w:r>
              <w:rPr>
                <w:spacing w:val="4"/>
              </w:rPr>
              <w:t xml:space="preserve">Less: share issuance costs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(170)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72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Plus: adjust carrying value to redemption 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170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21" w:type="dxa"/>
            <w:tcBorders/>
            <w:shd w:fill="CCEEFF" w:val="clear"/>
            <w:vAlign w:val="center"/>
          </w:tcPr>
          <w:p>
            <w:pPr>
              <w:pStyle w:val="TableContents"/>
              <w:bidi w:val="0"/>
              <w:spacing w:before="0" w:after="0"/>
              <w:jc w:val="left"/>
              <w:rPr/>
            </w:pPr>
            <w:r>
              <w:rPr>
                <w:spacing w:val="-4"/>
              </w:rPr>
              <w:t>Common stock subject to possible redemption, November 30, 2025</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300,000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Obligation to issue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30, 2024, the Company had recognized an obligation to issue shares of $167,750 relating to the December 2024 grant of 300,000 bonus shares with a deemed fair value of $0.61 per share. The obligation to issue shares was calculated as the total fair value pro-rated on a straight-line basis, over the one-year service period, for the portion attributable to services rendered during the period from December 14, 2023 (inception) through November 30, 2024 and such amount has been recorded as a separate line item within stockholders’ equity (deficit) and as professional fees incurred during the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March 10, 2025, the Board of Directors of the Company implemented a 2025 Equity Incentive Plan (“EIP”). The maximum number of shares the Company may issue pursuant to awards granted under the 2025 EIP is 15,137,213 shares, subject to certain automatic increases except that the maximum number of shares that the Company may issue as incentive stock options is equal to the maximum number of shares available for issuance under the EIP without taking into account any automatic increases in the share reserve of the EIP. The Company has not granted any awards under the EIP.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7000" distB="0" distL="0" distR="0" simplePos="0" locked="0" layoutInCell="1" allowOverlap="1" relativeHeight="375">
                <wp:simplePos x="0" y="0"/>
                <wp:positionH relativeFrom="column">
                  <wp:align>left</wp:align>
                </wp:positionH>
                <wp:positionV relativeFrom="line">
                  <wp:align>top</wp:align>
                </wp:positionV>
                <wp:extent cx="254000" cy="350520"/>
                <wp:effectExtent l="0" t="0" r="0" b="0"/>
                <wp:wrapSquare wrapText="right"/>
                <wp:docPr id="372" name="Frame3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issuance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period from December 1, 2024 through November 30, 2025, the Company issued 300,000 common shares to a stockholder as bonus compensation for professional services rendered from January 2024 through December 2024 (Note 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Obligation to issue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30, 2024, in connection with the shares mentioned in the previous paragraph, the Company recognized an obligation to issue shares of $167,750 in connection with the subsequent issuance of 300,000 bonus shares granted to a stockholder for services rendered during the one-year period from January to December 2024 (Note 5). The total value of the shares granted subsequent to November 30, 2024 is $183,000.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30, 2025, the Company issued the common stock as bonus compensation for the value of $183,000 to a stockholder for the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Professional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November 30, 2025, the Company incurred $180,000 (for the period from December 14, 2023 (inception) through November 30, 2024 — $97,500) in fees to the Chief Executive Officer (the “CEO”) of the Company. As of November 30, 2025, $15,000 of CEO fees (November 30, 2024 — $15,000) and $Nil in expense reimbursements (November 30, 2024 — $3,267) were included in due to related parties.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November 30, 2025, the Company incurred $157,500 (for the period from December 14, 2023 (inception) through November 30, 2024 — $75,000) in fees to the former Chief Financial Officer (the “former CFO”) of the Company. As of November 30, 2025, $15,000 of former CFO fees (November 30, 2024 — $75,000) and $Nil in expense reimbursements (November 30, 2024 — $2,641) were included in due to related parties.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November 30, 2025, the Company incurred $16,645 (for the period from December 14, 2023 (inception) through November 30, 2024 — $Nil) in fees to the Chief Financial Officer (the “CFO”) of the Company. As of November 30, 2025, $10,750 of CFO fees (November 30, 2024 — $Nil) were included in due to related parties.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November 30, 2025, the Company incurred $180,000 (for the period from December 14, 2023 (inception) through November 30, 2024 — $75,000) of consulting fees with a company controlled by a director of the Company. As of November 30, 2025, $22,500 (November 30, 2024 — $59,819) of consulting fees and $7,971 (November 30, 2024 — $18,863) in expense reimbursements were included in due to related parties.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there were two stockholders that provided consulting services to the Company. During the year ended November 30, 2025, the Company incurred $381,250 (for the period from December 14, 2023 (inception) through November 30, 2024 — $343,750) and $180,250 (for the period from December 14, 2023 (inception) through November 30, 2024 — $60,750) of consulting fees with these two stockholders. As of November 30, 2025, $48,000 (November 30, 2024 — $176,000) and $19,875 (November 30, 2024 — $60,750), respectively, in consulting fees to these two stockholders were included in due to related parties.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30, 2025, $128,064 (November 30, 2024 — $107,128) was included in due to related parties for amounts relating to expense reimbursements due to corporations over which stockholders of the Company exercise significant influence.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97"/>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76">
                <wp:simplePos x="0" y="0"/>
                <wp:positionH relativeFrom="column">
                  <wp:align>left</wp:align>
                </wp:positionH>
                <wp:positionV relativeFrom="line">
                  <wp:align>top</wp:align>
                </wp:positionV>
                <wp:extent cx="254000" cy="175260"/>
                <wp:effectExtent l="0" t="0" r="0" b="0"/>
                <wp:wrapSquare wrapText="right"/>
                <wp:docPr id="373" name="Frame368"/>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b/>
                              </w:rPr>
                            </w:pPr>
                            <w:r>
                              <w:rPr>
                                <w:b/>
                                <w:spacing w:val="-4"/>
                              </w:rPr>
                              <w:t>6.</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6.</w:t>
                      </w:r>
                      <w:r>
                        <w:rPr>
                          <w:b/>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60" w:before="2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November 30, 2025, $12,865 (November 30, 2024 — $Nil) was included in due to related parties for amounts relating to expense reimbursements due to a stockholder.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PROFESSIONAL FEES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377">
                <wp:simplePos x="0" y="0"/>
                <wp:positionH relativeFrom="column">
                  <wp:align>left</wp:align>
                </wp:positionH>
                <wp:positionV relativeFrom="line">
                  <wp:align>top</wp:align>
                </wp:positionV>
                <wp:extent cx="254000" cy="350520"/>
                <wp:effectExtent l="0" t="0" r="0" b="0"/>
                <wp:wrapSquare wrapText="right"/>
                <wp:docPr id="374" name="Frame3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7.</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7.</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of professional fees are presented below: </w:t>
      </w:r>
    </w:p>
    <w:tbl>
      <w:tblPr>
        <w:tblW w:w="7650" w:type="dxa"/>
        <w:jc w:val="left"/>
        <w:tblInd w:w="1393" w:type="dxa"/>
        <w:tblLayout w:type="fixed"/>
        <w:tblCellMar>
          <w:top w:w="0" w:type="dxa"/>
          <w:left w:w="0" w:type="dxa"/>
          <w:bottom w:w="28" w:type="dxa"/>
          <w:right w:w="0" w:type="dxa"/>
        </w:tblCellMar>
      </w:tblPr>
      <w:tblGrid>
        <w:gridCol w:w="2995"/>
        <w:gridCol w:w="109"/>
        <w:gridCol w:w="109"/>
        <w:gridCol w:w="146"/>
        <w:gridCol w:w="304"/>
        <w:gridCol w:w="1436"/>
        <w:gridCol w:w="146"/>
        <w:gridCol w:w="109"/>
        <w:gridCol w:w="109"/>
        <w:gridCol w:w="165"/>
        <w:gridCol w:w="344"/>
        <w:gridCol w:w="1354"/>
        <w:gridCol w:w="170"/>
        <w:gridCol w:w="154"/>
      </w:tblGrid>
      <w:tr>
        <w:trPr/>
        <w:tc>
          <w:tcPr>
            <w:tcW w:w="29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3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year ended</w:t>
            </w:r>
            <w:r>
              <w:rPr/>
              <w:t xml:space="preserve"> </w:t>
              <w:br/>
            </w:r>
            <w:r>
              <w:rPr>
                <w:spacing w:val="-3"/>
              </w:rPr>
              <w:t xml:space="preserve">November 30,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period from</w:t>
            </w:r>
            <w:r>
              <w:rPr/>
              <w:t xml:space="preserve"> </w:t>
              <w:br/>
            </w:r>
            <w:r>
              <w:rPr>
                <w:spacing w:val="-3"/>
              </w:rPr>
              <w:t>December 14, 2023</w:t>
            </w:r>
            <w:r>
              <w:rPr/>
              <w:t xml:space="preserve"> </w:t>
              <w:br/>
            </w:r>
            <w:r>
              <w:rPr>
                <w:spacing w:val="-3"/>
              </w:rPr>
              <w:t>(Inception) through</w:t>
            </w:r>
            <w:r>
              <w:rPr/>
              <w:t xml:space="preserve"> </w:t>
              <w:br/>
            </w:r>
            <w:r>
              <w:rPr>
                <w:spacing w:val="-3"/>
              </w:rPr>
              <w:t xml:space="preserve">November 30, 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95" w:type="dxa"/>
            <w:tcBorders/>
            <w:shd w:fill="CCEEFF" w:val="clear"/>
            <w:tcMar>
              <w:bottom w:w="0" w:type="dxa"/>
            </w:tcMar>
            <w:vAlign w:val="center"/>
          </w:tcPr>
          <w:p>
            <w:pPr>
              <w:pStyle w:val="TableContents"/>
              <w:bidi w:val="0"/>
              <w:spacing w:before="0" w:after="0"/>
              <w:jc w:val="left"/>
              <w:rPr>
                <w:spacing w:val="4"/>
              </w:rPr>
            </w:pPr>
            <w:r>
              <w:rPr>
                <w:spacing w:val="4"/>
              </w:rPr>
              <w:t xml:space="preserve">Consulting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4" w:type="dxa"/>
            <w:tcBorders/>
            <w:shd w:fill="CCEEFF" w:val="clear"/>
            <w:tcMar>
              <w:bottom w:w="0" w:type="dxa"/>
            </w:tcMar>
            <w:vAlign w:val="center"/>
          </w:tcPr>
          <w:p>
            <w:pPr>
              <w:pStyle w:val="TableContents"/>
              <w:bidi w:val="0"/>
              <w:spacing w:before="0" w:after="283"/>
              <w:jc w:val="right"/>
              <w:rPr/>
            </w:pPr>
            <w:r>
              <w:rPr/>
              <w:t>$</w:t>
            </w:r>
          </w:p>
        </w:tc>
        <w:tc>
          <w:tcPr>
            <w:tcW w:w="1436" w:type="dxa"/>
            <w:tcBorders/>
            <w:shd w:fill="CCEEFF" w:val="clear"/>
            <w:tcMar>
              <w:bottom w:w="0" w:type="dxa"/>
            </w:tcMar>
            <w:vAlign w:val="center"/>
          </w:tcPr>
          <w:p>
            <w:pPr>
              <w:pStyle w:val="TableContents"/>
              <w:bidi w:val="0"/>
              <w:spacing w:before="0" w:after="283"/>
              <w:jc w:val="right"/>
              <w:rPr/>
            </w:pPr>
            <w:r>
              <w:rPr/>
              <w:t>1,402,176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354" w:type="dxa"/>
            <w:tcBorders/>
            <w:shd w:fill="CCEEFF" w:val="clear"/>
            <w:tcMar>
              <w:bottom w:w="0" w:type="dxa"/>
            </w:tcMar>
            <w:vAlign w:val="center"/>
          </w:tcPr>
          <w:p>
            <w:pPr>
              <w:pStyle w:val="TableContents"/>
              <w:bidi w:val="0"/>
              <w:spacing w:before="0" w:after="283"/>
              <w:jc w:val="right"/>
              <w:rPr/>
            </w:pPr>
            <w:r>
              <w:rPr/>
              <w:t>561,724</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95" w:type="dxa"/>
            <w:tcBorders/>
            <w:tcMar>
              <w:bottom w:w="0" w:type="dxa"/>
            </w:tcMar>
            <w:vAlign w:val="center"/>
          </w:tcPr>
          <w:p>
            <w:pPr>
              <w:pStyle w:val="TableContents"/>
              <w:bidi w:val="0"/>
              <w:spacing w:before="0" w:after="0"/>
              <w:jc w:val="left"/>
              <w:rPr>
                <w:spacing w:val="4"/>
              </w:rPr>
            </w:pPr>
            <w:r>
              <w:rPr>
                <w:spacing w:val="4"/>
              </w:rPr>
              <w:t xml:space="preserve">Management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4" w:type="dxa"/>
            <w:tcBorders/>
            <w:tcMar>
              <w:bottom w:w="0" w:type="dxa"/>
            </w:tcMar>
            <w:vAlign w:val="center"/>
          </w:tcPr>
          <w:p>
            <w:pPr>
              <w:pStyle w:val="TableContents"/>
              <w:bidi w:val="0"/>
              <w:spacing w:before="0" w:after="283"/>
              <w:jc w:val="right"/>
              <w:rPr/>
            </w:pPr>
            <w:r>
              <w:rPr/>
              <w:t>​</w:t>
            </w:r>
          </w:p>
        </w:tc>
        <w:tc>
          <w:tcPr>
            <w:tcW w:w="1436" w:type="dxa"/>
            <w:tcBorders/>
            <w:tcMar>
              <w:bottom w:w="0" w:type="dxa"/>
            </w:tcMar>
            <w:vAlign w:val="center"/>
          </w:tcPr>
          <w:p>
            <w:pPr>
              <w:pStyle w:val="TableContents"/>
              <w:bidi w:val="0"/>
              <w:spacing w:before="0" w:after="283"/>
              <w:jc w:val="right"/>
              <w:rPr/>
            </w:pPr>
            <w:r>
              <w:rPr/>
              <w:t>354,145</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283"/>
              <w:jc w:val="right"/>
              <w:rPr/>
            </w:pPr>
            <w:r>
              <w:rPr/>
              <w:t>​</w:t>
            </w:r>
          </w:p>
        </w:tc>
        <w:tc>
          <w:tcPr>
            <w:tcW w:w="1354" w:type="dxa"/>
            <w:tcBorders/>
            <w:tcMar>
              <w:bottom w:w="0" w:type="dxa"/>
            </w:tcMar>
            <w:vAlign w:val="center"/>
          </w:tcPr>
          <w:p>
            <w:pPr>
              <w:pStyle w:val="TableContents"/>
              <w:bidi w:val="0"/>
              <w:spacing w:before="0" w:after="283"/>
              <w:jc w:val="right"/>
              <w:rPr/>
            </w:pPr>
            <w:r>
              <w:rPr/>
              <w:t>127,500</w:t>
            </w:r>
          </w:p>
        </w:tc>
        <w:tc>
          <w:tcPr>
            <w:tcW w:w="1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9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Legal, accounting and others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6" w:type="dxa"/>
            <w:tcBorders>
              <w:bottom w:val="single" w:sz="2" w:space="0" w:color="CCEEFF"/>
            </w:tcBorders>
            <w:shd w:fill="CCEEFF" w:val="clear"/>
            <w:vAlign w:val="center"/>
          </w:tcPr>
          <w:p>
            <w:pPr>
              <w:pStyle w:val="TableContents"/>
              <w:bidi w:val="0"/>
              <w:spacing w:before="0" w:after="283"/>
              <w:jc w:val="left"/>
              <w:rPr/>
            </w:pPr>
            <w:r>
              <w:rPr/>
              <w:t>​</w:t>
            </w:r>
          </w:p>
        </w:tc>
        <w:tc>
          <w:tcPr>
            <w:tcW w:w="30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36" w:type="dxa"/>
            <w:tcBorders>
              <w:bottom w:val="single" w:sz="2" w:space="0" w:color="000000"/>
            </w:tcBorders>
            <w:shd w:fill="CCEEFF" w:val="clear"/>
            <w:tcMar>
              <w:bottom w:w="50" w:type="dxa"/>
            </w:tcMar>
            <w:vAlign w:val="center"/>
          </w:tcPr>
          <w:p>
            <w:pPr>
              <w:pStyle w:val="TableContents"/>
              <w:bidi w:val="0"/>
              <w:spacing w:before="0" w:after="283"/>
              <w:jc w:val="right"/>
              <w:rPr/>
            </w:pPr>
            <w:r>
              <w:rPr/>
              <w:t>1,318,991</w:t>
            </w:r>
          </w:p>
        </w:tc>
        <w:tc>
          <w:tcPr>
            <w:tcW w:w="14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5" w:type="dxa"/>
            <w:tcBorders>
              <w:bottom w:val="single" w:sz="2" w:space="0" w:color="CCEEFF"/>
            </w:tcBorders>
            <w:shd w:fill="CCEEFF" w:val="clear"/>
            <w:vAlign w:val="center"/>
          </w:tcPr>
          <w:p>
            <w:pPr>
              <w:pStyle w:val="TableContents"/>
              <w:bidi w:val="0"/>
              <w:spacing w:before="0" w:after="283"/>
              <w:jc w:val="left"/>
              <w:rPr/>
            </w:pPr>
            <w:r>
              <w:rPr/>
              <w:t>​</w:t>
            </w:r>
          </w:p>
        </w:tc>
        <w:tc>
          <w:tcPr>
            <w:tcW w:w="34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54" w:type="dxa"/>
            <w:tcBorders>
              <w:bottom w:val="single" w:sz="2" w:space="0" w:color="000000"/>
            </w:tcBorders>
            <w:shd w:fill="CCEEFF" w:val="clear"/>
            <w:tcMar>
              <w:bottom w:w="50" w:type="dxa"/>
            </w:tcMar>
            <w:vAlign w:val="center"/>
          </w:tcPr>
          <w:p>
            <w:pPr>
              <w:pStyle w:val="TableContents"/>
              <w:bidi w:val="0"/>
              <w:spacing w:before="0" w:after="283"/>
              <w:jc w:val="right"/>
              <w:rPr/>
            </w:pPr>
            <w:r>
              <w:rPr/>
              <w:t>68,919</w:t>
            </w:r>
          </w:p>
        </w:tc>
        <w:tc>
          <w:tcPr>
            <w:tcW w:w="170"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995" w:type="dxa"/>
            <w:tcBorders/>
            <w:tcMar>
              <w:bottom w:w="0" w:type="dxa"/>
            </w:tcMar>
            <w:vAlign w:val="center"/>
          </w:tcPr>
          <w:p>
            <w:pPr>
              <w:pStyle w:val="TableContents"/>
              <w:bidi w:val="0"/>
              <w:spacing w:before="0" w:after="0"/>
              <w:jc w:val="left"/>
              <w:rPr/>
            </w:pPr>
            <w:r>
              <w:rPr>
                <w:spacing w:val="-4"/>
              </w:rPr>
              <w:t>Total, Professional fees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4" w:type="dxa"/>
            <w:tcBorders>
              <w:bottom w:val="double" w:sz="8" w:space="0" w:color="000000"/>
            </w:tcBorders>
            <w:tcMar>
              <w:bottom w:w="50" w:type="dxa"/>
            </w:tcMar>
            <w:vAlign w:val="center"/>
          </w:tcPr>
          <w:p>
            <w:pPr>
              <w:pStyle w:val="TableContents"/>
              <w:bidi w:val="0"/>
              <w:spacing w:before="0" w:after="283"/>
              <w:jc w:val="right"/>
              <w:rPr/>
            </w:pPr>
            <w:r>
              <w:rPr/>
              <w:t>$</w:t>
            </w:r>
          </w:p>
        </w:tc>
        <w:tc>
          <w:tcPr>
            <w:tcW w:w="1436" w:type="dxa"/>
            <w:tcBorders>
              <w:bottom w:val="double" w:sz="8" w:space="0" w:color="000000"/>
            </w:tcBorders>
            <w:tcMar>
              <w:bottom w:w="50" w:type="dxa"/>
            </w:tcMar>
            <w:vAlign w:val="center"/>
          </w:tcPr>
          <w:p>
            <w:pPr>
              <w:pStyle w:val="TableContents"/>
              <w:bidi w:val="0"/>
              <w:spacing w:before="0" w:after="283"/>
              <w:jc w:val="right"/>
              <w:rPr/>
            </w:pPr>
            <w:r>
              <w:rPr/>
              <w:t>3,075,312</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4" w:type="dxa"/>
            <w:tcBorders>
              <w:bottom w:val="double" w:sz="8" w:space="0" w:color="000000"/>
            </w:tcBorders>
            <w:tcMar>
              <w:bottom w:w="50" w:type="dxa"/>
            </w:tcMar>
            <w:vAlign w:val="center"/>
          </w:tcPr>
          <w:p>
            <w:pPr>
              <w:pStyle w:val="TableContents"/>
              <w:bidi w:val="0"/>
              <w:spacing w:before="0" w:after="283"/>
              <w:jc w:val="right"/>
              <w:rPr/>
            </w:pPr>
            <w:r>
              <w:rPr/>
              <w:t>$</w:t>
            </w:r>
          </w:p>
        </w:tc>
        <w:tc>
          <w:tcPr>
            <w:tcW w:w="1354" w:type="dxa"/>
            <w:tcBorders>
              <w:bottom w:val="double" w:sz="8" w:space="0" w:color="000000"/>
            </w:tcBorders>
            <w:tcMar>
              <w:bottom w:w="50" w:type="dxa"/>
            </w:tcMar>
            <w:vAlign w:val="center"/>
          </w:tcPr>
          <w:p>
            <w:pPr>
              <w:pStyle w:val="TableContents"/>
              <w:bidi w:val="0"/>
              <w:spacing w:before="0" w:after="283"/>
              <w:jc w:val="right"/>
              <w:rPr/>
            </w:pPr>
            <w:r>
              <w:rPr/>
              <w:t>758,143</w:t>
            </w:r>
          </w:p>
        </w:tc>
        <w:tc>
          <w:tcPr>
            <w:tcW w:w="1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INTANGIBLE ASSETS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31140" distB="0" distL="0" distR="0" simplePos="0" locked="0" layoutInCell="1" allowOverlap="1" relativeHeight="378">
                <wp:simplePos x="0" y="0"/>
                <wp:positionH relativeFrom="column">
                  <wp:align>left</wp:align>
                </wp:positionH>
                <wp:positionV relativeFrom="line">
                  <wp:align>top</wp:align>
                </wp:positionV>
                <wp:extent cx="254000" cy="350520"/>
                <wp:effectExtent l="0" t="0" r="0" b="0"/>
                <wp:wrapSquare wrapText="right"/>
                <wp:docPr id="375" name="Frame3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8.</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2pt;mso-wrap-distance-bottom:0pt;margin-top:18.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8.</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20, 2025, the Company entered into an exclusive patent license agreement with UNM Rainforest Innovations (“UNMRI”) for the use and commercialization of certain patents and technologies, including the grant of commercial sub-licenses, in relation to designs and technologies of small modular nuclear reactors. The term of the agreement is to remain in force until the later of: (i) 10 years from the date of first sale of a licensed product, or provision of a licensed service; and, (ii) the last expiration date of the underlying patents. The Company paid a license fee of $50,000 and patent expense reimbursement of $17,430 upon execution of the agreement, and is to pay a license maintenance fee of $35,000 due on January 31, 2026, and $50,000 due on each of January 31, 2027 and January 31, 2028. The Company shall also pay to UNMRI certain royalties on commercial sublicenses and on gross receipts from sale of commercial reactors, subject to minimum annual royalties of $65,000 from the calendar year 2028 onwards. The Company capitalized the costs paid upon execution of the agreement.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policy is to expense costs incurred to renew, extend or maintain the term of a recognized patent license as incurred.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Patent licenses are amortized on a straight-line basis over their estimated useful lives pursuant to contract terms.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intangible assets as of November 30, 2025, are as follows: </w:t>
      </w:r>
    </w:p>
    <w:tbl>
      <w:tblPr>
        <w:tblW w:w="8812" w:type="dxa"/>
        <w:jc w:val="left"/>
        <w:tblInd w:w="1393" w:type="dxa"/>
        <w:tblLayout w:type="fixed"/>
        <w:tblCellMar>
          <w:top w:w="0" w:type="dxa"/>
          <w:left w:w="0" w:type="dxa"/>
          <w:bottom w:w="28" w:type="dxa"/>
          <w:right w:w="0" w:type="dxa"/>
        </w:tblCellMar>
      </w:tblPr>
      <w:tblGrid>
        <w:gridCol w:w="2343"/>
        <w:gridCol w:w="109"/>
        <w:gridCol w:w="109"/>
        <w:gridCol w:w="120"/>
        <w:gridCol w:w="249"/>
        <w:gridCol w:w="845"/>
        <w:gridCol w:w="120"/>
        <w:gridCol w:w="109"/>
        <w:gridCol w:w="109"/>
        <w:gridCol w:w="127"/>
        <w:gridCol w:w="267"/>
        <w:gridCol w:w="855"/>
        <w:gridCol w:w="130"/>
        <w:gridCol w:w="109"/>
        <w:gridCol w:w="109"/>
        <w:gridCol w:w="109"/>
        <w:gridCol w:w="226"/>
        <w:gridCol w:w="766"/>
        <w:gridCol w:w="109"/>
        <w:gridCol w:w="109"/>
        <w:gridCol w:w="109"/>
        <w:gridCol w:w="192"/>
        <w:gridCol w:w="192"/>
        <w:gridCol w:w="933"/>
        <w:gridCol w:w="196"/>
        <w:gridCol w:w="161"/>
      </w:tblGrid>
      <w:tr>
        <w:trPr/>
        <w:tc>
          <w:tcPr>
            <w:tcW w:w="23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Gross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Amortization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Net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Weighted</w:t>
            </w:r>
            <w:r>
              <w:rPr/>
              <w:t xml:space="preserve"> </w:t>
              <w:br/>
            </w:r>
            <w:r>
              <w:rPr>
                <w:spacing w:val="-3"/>
              </w:rPr>
              <w:t>Average</w:t>
            </w:r>
            <w:r>
              <w:rPr/>
              <w:t xml:space="preserve"> </w:t>
              <w:br/>
            </w:r>
            <w:r>
              <w:rPr>
                <w:spacing w:val="-3"/>
              </w:rPr>
              <w:t>Remaining Life</w:t>
            </w:r>
            <w:r>
              <w:rPr/>
              <w:t xml:space="preserve"> </w:t>
              <w:br/>
            </w:r>
            <w:r>
              <w:rPr>
                <w:spacing w:val="-3"/>
              </w:rPr>
              <w:t xml:space="preserve">(Years)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34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Patent licenses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24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5" w:type="dxa"/>
            <w:tcBorders>
              <w:bottom w:val="single" w:sz="2" w:space="0" w:color="000000"/>
            </w:tcBorders>
            <w:shd w:fill="CCEEFF" w:val="clear"/>
            <w:tcMar>
              <w:bottom w:w="50" w:type="dxa"/>
            </w:tcMar>
            <w:vAlign w:val="center"/>
          </w:tcPr>
          <w:p>
            <w:pPr>
              <w:pStyle w:val="TableContents"/>
              <w:bidi w:val="0"/>
              <w:spacing w:before="0" w:after="283"/>
              <w:jc w:val="right"/>
              <w:rPr/>
            </w:pPr>
            <w:r>
              <w:rPr/>
              <w:t>67,430</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7" w:type="dxa"/>
            <w:tcBorders>
              <w:bottom w:val="single" w:sz="2" w:space="0" w:color="CCEEFF"/>
            </w:tcBorders>
            <w:shd w:fill="CCEEFF" w:val="clear"/>
            <w:vAlign w:val="center"/>
          </w:tcPr>
          <w:p>
            <w:pPr>
              <w:pStyle w:val="TableContents"/>
              <w:bidi w:val="0"/>
              <w:spacing w:before="0" w:after="283"/>
              <w:jc w:val="left"/>
              <w:rPr/>
            </w:pPr>
            <w:r>
              <w:rPr/>
              <w:t>​</w:t>
            </w:r>
          </w:p>
        </w:tc>
        <w:tc>
          <w:tcPr>
            <w:tcW w:w="26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55" w:type="dxa"/>
            <w:tcBorders>
              <w:bottom w:val="single" w:sz="2" w:space="0" w:color="000000"/>
            </w:tcBorders>
            <w:shd w:fill="CCEEFF" w:val="clear"/>
            <w:tcMar>
              <w:bottom w:w="50" w:type="dxa"/>
            </w:tcMar>
            <w:vAlign w:val="center"/>
          </w:tcPr>
          <w:p>
            <w:pPr>
              <w:pStyle w:val="TableContents"/>
              <w:bidi w:val="0"/>
              <w:spacing w:before="0" w:after="283"/>
              <w:jc w:val="right"/>
              <w:rPr/>
            </w:pPr>
            <w:r>
              <w:rPr/>
              <w:t>(1,515)</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65,915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92" w:type="dxa"/>
            <w:tcBorders>
              <w:bottom w:val="single" w:sz="2" w:space="0" w:color="CCEEFF"/>
            </w:tcBorders>
            <w:shd w:fill="CCEEFF" w:val="clear"/>
            <w:vAlign w:val="center"/>
          </w:tcPr>
          <w:p>
            <w:pPr>
              <w:pStyle w:val="TableContents"/>
              <w:bidi w:val="0"/>
              <w:spacing w:before="0" w:after="283"/>
              <w:jc w:val="left"/>
              <w:rPr/>
            </w:pPr>
            <w:r>
              <w:rPr/>
              <w:t>​</w:t>
            </w:r>
          </w:p>
        </w:tc>
        <w:tc>
          <w:tcPr>
            <w:tcW w:w="19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33" w:type="dxa"/>
            <w:tcBorders>
              <w:bottom w:val="single" w:sz="2" w:space="0" w:color="000000"/>
            </w:tcBorders>
            <w:shd w:fill="CCEEFF" w:val="clear"/>
            <w:tcMar>
              <w:bottom w:w="50" w:type="dxa"/>
            </w:tcMar>
            <w:vAlign w:val="center"/>
          </w:tcPr>
          <w:p>
            <w:pPr>
              <w:pStyle w:val="TableContents"/>
              <w:bidi w:val="0"/>
              <w:spacing w:before="0" w:after="283"/>
              <w:jc w:val="right"/>
              <w:rPr/>
            </w:pPr>
            <w:r>
              <w:rPr/>
              <w:t>19.5</w:t>
            </w:r>
          </w:p>
        </w:tc>
        <w:tc>
          <w:tcPr>
            <w:tcW w:w="196"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343" w:type="dxa"/>
            <w:tcBorders/>
            <w:tcMar>
              <w:bottom w:w="0" w:type="dxa"/>
            </w:tcMar>
            <w:vAlign w:val="center"/>
          </w:tcPr>
          <w:p>
            <w:pPr>
              <w:pStyle w:val="TableContents"/>
              <w:bidi w:val="0"/>
              <w:spacing w:before="0" w:after="0"/>
              <w:jc w:val="left"/>
              <w:rPr>
                <w:spacing w:val="4"/>
              </w:rPr>
            </w:pPr>
            <w:r>
              <w:rPr>
                <w:spacing w:val="4"/>
              </w:rPr>
              <w:t xml:space="preserve">Total intangible asset,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bottom w:val="double" w:sz="8" w:space="0" w:color="000000"/>
            </w:tcBorders>
            <w:tcMar>
              <w:bottom w:w="50" w:type="dxa"/>
            </w:tcMar>
            <w:vAlign w:val="center"/>
          </w:tcPr>
          <w:p>
            <w:pPr>
              <w:pStyle w:val="TableContents"/>
              <w:bidi w:val="0"/>
              <w:spacing w:before="0" w:after="283"/>
              <w:jc w:val="right"/>
              <w:rPr/>
            </w:pPr>
            <w:r>
              <w:rPr/>
              <w:t>$</w:t>
            </w:r>
          </w:p>
        </w:tc>
        <w:tc>
          <w:tcPr>
            <w:tcW w:w="845" w:type="dxa"/>
            <w:tcBorders>
              <w:bottom w:val="double" w:sz="8" w:space="0" w:color="000000"/>
            </w:tcBorders>
            <w:tcMar>
              <w:bottom w:w="50" w:type="dxa"/>
            </w:tcMar>
            <w:vAlign w:val="center"/>
          </w:tcPr>
          <w:p>
            <w:pPr>
              <w:pStyle w:val="TableContents"/>
              <w:bidi w:val="0"/>
              <w:spacing w:before="0" w:after="283"/>
              <w:jc w:val="right"/>
              <w:rPr/>
            </w:pPr>
            <w:r>
              <w:rPr/>
              <w:t>67,430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267" w:type="dxa"/>
            <w:tcBorders>
              <w:bottom w:val="double" w:sz="8" w:space="0" w:color="000000"/>
            </w:tcBorders>
            <w:tcMar>
              <w:bottom w:w="50" w:type="dxa"/>
            </w:tcMar>
            <w:vAlign w:val="center"/>
          </w:tcPr>
          <w:p>
            <w:pPr>
              <w:pStyle w:val="TableContents"/>
              <w:bidi w:val="0"/>
              <w:spacing w:before="0" w:after="283"/>
              <w:jc w:val="right"/>
              <w:rPr/>
            </w:pPr>
            <w:r>
              <w:rPr/>
              <w:t>$</w:t>
            </w:r>
          </w:p>
        </w:tc>
        <w:tc>
          <w:tcPr>
            <w:tcW w:w="855" w:type="dxa"/>
            <w:tcBorders>
              <w:bottom w:val="double" w:sz="8" w:space="0" w:color="000000"/>
            </w:tcBorders>
            <w:tcMar>
              <w:bottom w:w="50" w:type="dxa"/>
            </w:tcMar>
            <w:vAlign w:val="center"/>
          </w:tcPr>
          <w:p>
            <w:pPr>
              <w:pStyle w:val="TableContents"/>
              <w:bidi w:val="0"/>
              <w:spacing w:before="0" w:after="283"/>
              <w:jc w:val="right"/>
              <w:rPr/>
            </w:pPr>
            <w:r>
              <w:rPr/>
              <w:t>(1,515)</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65,915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bottom w:val="double" w:sz="8" w:space="0" w:color="000000"/>
            </w:tcBorders>
            <w:tcMar>
              <w:bottom w:w="50" w:type="dxa"/>
            </w:tcMar>
            <w:vAlign w:val="center"/>
          </w:tcPr>
          <w:p>
            <w:pPr>
              <w:pStyle w:val="TableContents"/>
              <w:bidi w:val="0"/>
              <w:spacing w:before="0" w:after="283"/>
              <w:jc w:val="right"/>
              <w:rPr/>
            </w:pPr>
            <w:r>
              <w:rPr/>
              <w:t>​</w:t>
            </w:r>
          </w:p>
        </w:tc>
        <w:tc>
          <w:tcPr>
            <w:tcW w:w="933" w:type="dxa"/>
            <w:tcBorders>
              <w:bottom w:val="double" w:sz="8" w:space="0" w:color="000000"/>
            </w:tcBorders>
            <w:tcMar>
              <w:bottom w:w="50" w:type="dxa"/>
            </w:tcMar>
            <w:vAlign w:val="center"/>
          </w:tcPr>
          <w:p>
            <w:pPr>
              <w:pStyle w:val="TableContents"/>
              <w:bidi w:val="0"/>
              <w:spacing w:before="0" w:after="283"/>
              <w:jc w:val="right"/>
              <w:rPr/>
            </w:pPr>
            <w:r>
              <w:rPr/>
              <w:t>19.5</w:t>
            </w:r>
          </w:p>
        </w:tc>
        <w:tc>
          <w:tcPr>
            <w:tcW w:w="196"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INTANGIBLE ASSETS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79">
                <wp:simplePos x="0" y="0"/>
                <wp:positionH relativeFrom="column">
                  <wp:align>left</wp:align>
                </wp:positionH>
                <wp:positionV relativeFrom="line">
                  <wp:align>top</wp:align>
                </wp:positionV>
                <wp:extent cx="254000" cy="175260"/>
                <wp:effectExtent l="0" t="0" r="0" b="0"/>
                <wp:wrapSquare wrapText="right"/>
                <wp:docPr id="376" name="Frame371"/>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b/>
                              </w:rPr>
                            </w:pPr>
                            <w:r>
                              <w:rPr>
                                <w:b/>
                                <w:spacing w:val="-4"/>
                              </w:rPr>
                              <w:t>8.</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8.</w:t>
                      </w:r>
                      <w:r>
                        <w:rPr>
                          <w:b/>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intangible assets as of November 30, 2024, are as follows: </w:t>
      </w:r>
    </w:p>
    <w:tbl>
      <w:tblPr>
        <w:tblW w:w="8812" w:type="dxa"/>
        <w:jc w:val="left"/>
        <w:tblInd w:w="1393" w:type="dxa"/>
        <w:tblLayout w:type="fixed"/>
        <w:tblCellMar>
          <w:top w:w="0" w:type="dxa"/>
          <w:left w:w="0" w:type="dxa"/>
          <w:bottom w:w="28" w:type="dxa"/>
          <w:right w:w="0" w:type="dxa"/>
        </w:tblCellMar>
      </w:tblPr>
      <w:tblGrid>
        <w:gridCol w:w="2488"/>
        <w:gridCol w:w="109"/>
        <w:gridCol w:w="109"/>
        <w:gridCol w:w="148"/>
        <w:gridCol w:w="307"/>
        <w:gridCol w:w="621"/>
        <w:gridCol w:w="148"/>
        <w:gridCol w:w="109"/>
        <w:gridCol w:w="109"/>
        <w:gridCol w:w="191"/>
        <w:gridCol w:w="397"/>
        <w:gridCol w:w="608"/>
        <w:gridCol w:w="192"/>
        <w:gridCol w:w="109"/>
        <w:gridCol w:w="109"/>
        <w:gridCol w:w="135"/>
        <w:gridCol w:w="282"/>
        <w:gridCol w:w="568"/>
        <w:gridCol w:w="135"/>
        <w:gridCol w:w="109"/>
        <w:gridCol w:w="109"/>
        <w:gridCol w:w="251"/>
        <w:gridCol w:w="251"/>
        <w:gridCol w:w="802"/>
        <w:gridCol w:w="255"/>
        <w:gridCol w:w="161"/>
      </w:tblGrid>
      <w:tr>
        <w:trPr/>
        <w:tc>
          <w:tcPr>
            <w:tcW w:w="24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Gross Asset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Amortization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Net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Weighted</w:t>
            </w:r>
            <w:r>
              <w:rPr/>
              <w:t xml:space="preserve"> </w:t>
              <w:br/>
            </w:r>
            <w:r>
              <w:rPr>
                <w:spacing w:val="-3"/>
              </w:rPr>
              <w:t>Average</w:t>
            </w:r>
            <w:r>
              <w:rPr/>
              <w:t xml:space="preserve"> </w:t>
              <w:br/>
            </w:r>
            <w:r>
              <w:rPr>
                <w:spacing w:val="-3"/>
              </w:rPr>
              <w:t>Remaining Life</w:t>
            </w:r>
            <w:r>
              <w:rPr/>
              <w:t xml:space="preserve"> </w:t>
              <w:br/>
            </w:r>
            <w:r>
              <w:rPr>
                <w:spacing w:val="-3"/>
              </w:rPr>
              <w:t xml:space="preserve">(Years)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48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Patent licenses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30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2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91" w:type="dxa"/>
            <w:tcBorders>
              <w:bottom w:val="single" w:sz="2" w:space="0" w:color="CCEEFF"/>
            </w:tcBorders>
            <w:shd w:fill="CCEEFF" w:val="clear"/>
            <w:vAlign w:val="center"/>
          </w:tcPr>
          <w:p>
            <w:pPr>
              <w:pStyle w:val="TableContents"/>
              <w:bidi w:val="0"/>
              <w:spacing w:before="0" w:after="283"/>
              <w:jc w:val="left"/>
              <w:rPr/>
            </w:pPr>
            <w:r>
              <w:rPr/>
              <w:t>​</w:t>
            </w:r>
          </w:p>
        </w:tc>
        <w:tc>
          <w:tcPr>
            <w:tcW w:w="39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0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9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28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51" w:type="dxa"/>
            <w:tcBorders>
              <w:bottom w:val="single" w:sz="2" w:space="0" w:color="CCEEFF"/>
            </w:tcBorders>
            <w:shd w:fill="CCEEFF" w:val="clear"/>
            <w:vAlign w:val="center"/>
          </w:tcPr>
          <w:p>
            <w:pPr>
              <w:pStyle w:val="TableContents"/>
              <w:bidi w:val="0"/>
              <w:spacing w:before="0" w:after="283"/>
              <w:jc w:val="left"/>
              <w:rPr/>
            </w:pPr>
            <w:r>
              <w:rPr/>
              <w:t>​</w:t>
            </w:r>
          </w:p>
        </w:tc>
        <w:tc>
          <w:tcPr>
            <w:tcW w:w="25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0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255"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488" w:type="dxa"/>
            <w:tcBorders/>
            <w:tcMar>
              <w:bottom w:w="0" w:type="dxa"/>
            </w:tcMar>
            <w:vAlign w:val="center"/>
          </w:tcPr>
          <w:p>
            <w:pPr>
              <w:pStyle w:val="TableContents"/>
              <w:bidi w:val="0"/>
              <w:spacing w:before="0" w:after="0"/>
              <w:jc w:val="left"/>
              <w:rPr>
                <w:spacing w:val="4"/>
              </w:rPr>
            </w:pPr>
            <w:r>
              <w:rPr>
                <w:spacing w:val="4"/>
              </w:rPr>
              <w:t xml:space="preserve">Total intangible asset,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07" w:type="dxa"/>
            <w:tcBorders>
              <w:bottom w:val="double" w:sz="8" w:space="0" w:color="000000"/>
            </w:tcBorders>
            <w:tcMar>
              <w:bottom w:w="50" w:type="dxa"/>
            </w:tcMar>
            <w:vAlign w:val="center"/>
          </w:tcPr>
          <w:p>
            <w:pPr>
              <w:pStyle w:val="TableContents"/>
              <w:bidi w:val="0"/>
              <w:spacing w:before="0" w:after="283"/>
              <w:jc w:val="right"/>
              <w:rPr/>
            </w:pPr>
            <w:r>
              <w:rPr/>
              <w:t>$</w:t>
            </w:r>
          </w:p>
        </w:tc>
        <w:tc>
          <w:tcPr>
            <w:tcW w:w="621" w:type="dxa"/>
            <w:tcBorders>
              <w:bottom w:val="double" w:sz="8" w:space="0" w:color="000000"/>
            </w:tcBorders>
            <w:tcMar>
              <w:bottom w:w="50" w:type="dxa"/>
            </w:tcMar>
            <w:vAlign w:val="center"/>
          </w:tcPr>
          <w:p>
            <w:pPr>
              <w:pStyle w:val="TableContents"/>
              <w:bidi w:val="0"/>
              <w:spacing w:before="0" w:after="283"/>
              <w:jc w:val="right"/>
              <w:rPr/>
            </w:pPr>
            <w:r>
              <w:rPr/>
              <w:t> —</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397" w:type="dxa"/>
            <w:tcBorders>
              <w:bottom w:val="double" w:sz="8" w:space="0" w:color="000000"/>
            </w:tcBorders>
            <w:tcMar>
              <w:bottom w:w="50" w:type="dxa"/>
            </w:tcMar>
            <w:vAlign w:val="center"/>
          </w:tcPr>
          <w:p>
            <w:pPr>
              <w:pStyle w:val="TableContents"/>
              <w:bidi w:val="0"/>
              <w:spacing w:before="0" w:after="283"/>
              <w:jc w:val="right"/>
              <w:rPr/>
            </w:pPr>
            <w:r>
              <w:rPr/>
              <w:t>$</w:t>
            </w:r>
          </w:p>
        </w:tc>
        <w:tc>
          <w:tcPr>
            <w:tcW w:w="608" w:type="dxa"/>
            <w:tcBorders>
              <w:bottom w:val="double" w:sz="8" w:space="0" w:color="000000"/>
            </w:tcBorders>
            <w:tcMar>
              <w:bottom w:w="50" w:type="dxa"/>
            </w:tcMar>
            <w:vAlign w:val="center"/>
          </w:tcPr>
          <w:p>
            <w:pPr>
              <w:pStyle w:val="TableContents"/>
              <w:bidi w:val="0"/>
              <w:spacing w:before="0" w:after="283"/>
              <w:jc w:val="right"/>
              <w:rPr/>
            </w:pPr>
            <w:r>
              <w:rPr/>
              <w:t> —</w:t>
            </w:r>
          </w:p>
        </w:tc>
        <w:tc>
          <w:tcPr>
            <w:tcW w:w="1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2" w:type="dxa"/>
            <w:tcBorders>
              <w:bottom w:val="double" w:sz="8" w:space="0" w:color="000000"/>
            </w:tcBorders>
            <w:tcMar>
              <w:bottom w:w="50" w:type="dxa"/>
            </w:tcMar>
            <w:vAlign w:val="center"/>
          </w:tcPr>
          <w:p>
            <w:pPr>
              <w:pStyle w:val="TableContents"/>
              <w:bidi w:val="0"/>
              <w:spacing w:before="0" w:after="283"/>
              <w:jc w:val="right"/>
              <w:rPr/>
            </w:pPr>
            <w:r>
              <w:rPr/>
              <w:t>$</w:t>
            </w:r>
          </w:p>
        </w:tc>
        <w:tc>
          <w:tcPr>
            <w:tcW w:w="568" w:type="dxa"/>
            <w:tcBorders>
              <w:bottom w:val="double" w:sz="8" w:space="0" w:color="000000"/>
            </w:tcBorders>
            <w:tcMar>
              <w:bottom w:w="5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251" w:type="dxa"/>
            <w:tcBorders>
              <w:bottom w:val="double" w:sz="8" w:space="0" w:color="000000"/>
            </w:tcBorders>
            <w:tcMar>
              <w:bottom w:w="50" w:type="dxa"/>
            </w:tcMar>
            <w:vAlign w:val="center"/>
          </w:tcPr>
          <w:p>
            <w:pPr>
              <w:pStyle w:val="TableContents"/>
              <w:bidi w:val="0"/>
              <w:spacing w:before="0" w:after="283"/>
              <w:jc w:val="right"/>
              <w:rPr/>
            </w:pPr>
            <w:r>
              <w:rPr/>
              <w:t>​</w:t>
            </w:r>
          </w:p>
        </w:tc>
        <w:tc>
          <w:tcPr>
            <w:tcW w:w="802" w:type="dxa"/>
            <w:tcBorders>
              <w:bottom w:val="double" w:sz="8" w:space="0" w:color="000000"/>
            </w:tcBorders>
            <w:tcMar>
              <w:bottom w:w="50" w:type="dxa"/>
            </w:tcMar>
            <w:vAlign w:val="center"/>
          </w:tcPr>
          <w:p>
            <w:pPr>
              <w:pStyle w:val="TableContents"/>
              <w:bidi w:val="0"/>
              <w:spacing w:before="0" w:after="283"/>
              <w:jc w:val="right"/>
              <w:rPr/>
            </w:pPr>
            <w:r>
              <w:rPr/>
              <w:t> —</w:t>
            </w:r>
          </w:p>
        </w:tc>
        <w:tc>
          <w:tcPr>
            <w:tcW w:w="255"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Aggregate amortization expense was $1,515 for the year ended November 30, 2025 (for the period from December 14, 2023 (inception) through November 30, 2024 — $Nil). Amortization expense is expected to be approximately $3,400 per year for each of the next five fiscal years.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OPERATING LEASE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80">
                <wp:simplePos x="0" y="0"/>
                <wp:positionH relativeFrom="column">
                  <wp:align>left</wp:align>
                </wp:positionH>
                <wp:positionV relativeFrom="line">
                  <wp:align>top</wp:align>
                </wp:positionV>
                <wp:extent cx="254000" cy="350520"/>
                <wp:effectExtent l="0" t="0" r="0" b="0"/>
                <wp:wrapSquare wrapText="right"/>
                <wp:docPr id="377" name="Frame3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9.</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9.</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16, 2025, the Company entered into an office lease agreement in New York, NY for 5 years and 2 months from the lease commencement date, which is defined as the first business day following the substantial completion of the landlord’s work and delivery of possession of the premises to the Company. As of the reporting date, the landlord has not substantially completed the required work and possession of the premises has not yet been delivered; therefore, the lease commencement date has not been determined. Accordingly, the Company has not recognized a right-of-use asset or lease liability related to this lease as of the reporting date of November 30, 2025.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3, 2025, the Company entered into an office lease agreement in Vancouver, Canada for 2 years. Lease liabilities are measured at the commencement date based on the present value of future lease payments. As the Company’s lease did not provide an implicit rate, the Company uses its incremental borrowing rate based on the information available at the commencement date in determining the present value of future payments. The Company used a discount rate of 10.00% in determining its lease liability.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discount is the rate of interest that the Company would have to pay to borrow over a similar term, and with a similar security, the funds necessary to obtain an asset of comparable value to the right-of-use asset in a similar economic environment. The discount rate therefore reflects what the Company “would have to pay”, which requires estimation when no observable rates are available or where the applicable rates need to be adjusted to reflect the terms and conditions of the lease. The Company estimates the discount using observable inputs (such as market interest rates) when available and is required to make certain entity-specific estimates. The Company determined its discount rated based on the rate used by comparable public companies.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net lease cost and other supplemental lease information: </w:t>
      </w:r>
    </w:p>
    <w:tbl>
      <w:tblPr>
        <w:tblW w:w="8602" w:type="dxa"/>
        <w:jc w:val="left"/>
        <w:tblInd w:w="1393" w:type="dxa"/>
        <w:tblLayout w:type="fixed"/>
        <w:tblCellMar>
          <w:top w:w="0" w:type="dxa"/>
          <w:left w:w="0" w:type="dxa"/>
          <w:bottom w:w="28" w:type="dxa"/>
          <w:right w:w="0" w:type="dxa"/>
        </w:tblCellMar>
      </w:tblPr>
      <w:tblGrid>
        <w:gridCol w:w="3946"/>
        <w:gridCol w:w="109"/>
        <w:gridCol w:w="109"/>
        <w:gridCol w:w="165"/>
        <w:gridCol w:w="344"/>
        <w:gridCol w:w="1354"/>
        <w:gridCol w:w="170"/>
        <w:gridCol w:w="109"/>
        <w:gridCol w:w="109"/>
        <w:gridCol w:w="279"/>
        <w:gridCol w:w="580"/>
        <w:gridCol w:w="890"/>
        <w:gridCol w:w="284"/>
        <w:gridCol w:w="154"/>
      </w:tblGrid>
      <w:tr>
        <w:trPr/>
        <w:tc>
          <w:tcPr>
            <w:tcW w:w="39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November 30,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November 30, 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46" w:type="dxa"/>
            <w:tcBorders/>
            <w:shd w:fill="CCEEFF" w:val="clear"/>
            <w:tcMar>
              <w:bottom w:w="0" w:type="dxa"/>
            </w:tcMar>
            <w:vAlign w:val="center"/>
          </w:tcPr>
          <w:p>
            <w:pPr>
              <w:pStyle w:val="TableContents"/>
              <w:bidi w:val="0"/>
              <w:spacing w:before="0" w:after="283"/>
              <w:jc w:val="left"/>
              <w:rPr>
                <w:spacing w:val="4"/>
              </w:rPr>
            </w:pPr>
            <w:r>
              <w:rPr>
                <w:spacing w:val="4"/>
              </w:rPr>
              <w:t xml:space="preserve">Lease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354"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9" w:type="dxa"/>
            <w:tcBorders/>
            <w:shd w:fill="CCEEFF" w:val="clear"/>
            <w:tcMar>
              <w:bottom w:w="0" w:type="dxa"/>
            </w:tcMar>
            <w:vAlign w:val="center"/>
          </w:tcPr>
          <w:p>
            <w:pPr>
              <w:pStyle w:val="TableContents"/>
              <w:bidi w:val="0"/>
              <w:spacing w:before="0" w:after="283"/>
              <w:jc w:val="left"/>
              <w:rPr/>
            </w:pPr>
            <w:r>
              <w:rPr/>
              <w:t>​</w:t>
            </w:r>
          </w:p>
        </w:tc>
        <w:tc>
          <w:tcPr>
            <w:tcW w:w="580"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w:t>
            </w:r>
          </w:p>
        </w:tc>
        <w:tc>
          <w:tcPr>
            <w:tcW w:w="2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6" w:type="dxa"/>
            <w:tcBorders/>
            <w:tcMar>
              <w:bottom w:w="0" w:type="dxa"/>
            </w:tcMar>
            <w:vAlign w:val="center"/>
          </w:tcPr>
          <w:p>
            <w:pPr>
              <w:pStyle w:val="TableContents"/>
              <w:bidi w:val="0"/>
              <w:spacing w:before="0" w:after="0"/>
              <w:jc w:val="left"/>
              <w:rPr>
                <w:spacing w:val="4"/>
              </w:rPr>
            </w:pPr>
            <w:r>
              <w:rPr>
                <w:spacing w:val="4"/>
              </w:rPr>
              <w:t xml:space="preserve">Operating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283"/>
              <w:jc w:val="right"/>
              <w:rPr/>
            </w:pPr>
            <w:r>
              <w:rPr/>
              <w:t>$</w:t>
            </w:r>
          </w:p>
        </w:tc>
        <w:tc>
          <w:tcPr>
            <w:tcW w:w="1354" w:type="dxa"/>
            <w:tcBorders/>
            <w:tcMar>
              <w:bottom w:w="0" w:type="dxa"/>
            </w:tcMar>
            <w:vAlign w:val="center"/>
          </w:tcPr>
          <w:p>
            <w:pPr>
              <w:pStyle w:val="TableContents"/>
              <w:bidi w:val="0"/>
              <w:spacing w:before="0" w:after="283"/>
              <w:jc w:val="right"/>
              <w:rPr/>
            </w:pPr>
            <w:r>
              <w:rPr/>
              <w:t>3,662</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 w:type="dxa"/>
            <w:tcBorders/>
            <w:tcMar>
              <w:bottom w:w="0" w:type="dxa"/>
            </w:tcMar>
            <w:vAlign w:val="center"/>
          </w:tcPr>
          <w:p>
            <w:pPr>
              <w:pStyle w:val="TableContents"/>
              <w:bidi w:val="0"/>
              <w:spacing w:before="0" w:after="283"/>
              <w:jc w:val="left"/>
              <w:rPr/>
            </w:pPr>
            <w:r>
              <w:rPr/>
              <w:t>​</w:t>
            </w:r>
          </w:p>
        </w:tc>
        <w:tc>
          <w:tcPr>
            <w:tcW w:w="580"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2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6" w:type="dxa"/>
            <w:tcBorders/>
            <w:shd w:fill="CCEEFF" w:val="clear"/>
            <w:tcMar>
              <w:bottom w:w="0" w:type="dxa"/>
            </w:tcMar>
            <w:vAlign w:val="center"/>
          </w:tcPr>
          <w:p>
            <w:pPr>
              <w:pStyle w:val="TableContents"/>
              <w:bidi w:val="0"/>
              <w:spacing w:before="0" w:after="0"/>
              <w:jc w:val="left"/>
              <w:rPr>
                <w:spacing w:val="4"/>
              </w:rPr>
            </w:pPr>
            <w:r>
              <w:rPr>
                <w:spacing w:val="4"/>
              </w:rPr>
              <w:t xml:space="preserve">Short term lease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354" w:type="dxa"/>
            <w:tcBorders/>
            <w:shd w:fill="CCEEFF" w:val="clear"/>
            <w:tcMar>
              <w:bottom w:w="0" w:type="dxa"/>
            </w:tcMar>
            <w:vAlign w:val="center"/>
          </w:tcPr>
          <w:p>
            <w:pPr>
              <w:pStyle w:val="TableContents"/>
              <w:bidi w:val="0"/>
              <w:spacing w:before="0" w:after="283"/>
              <w:jc w:val="right"/>
              <w:rPr/>
            </w:pPr>
            <w:r>
              <w:rPr/>
              <w:t>119,892</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9" w:type="dxa"/>
            <w:tcBorders/>
            <w:shd w:fill="CCEEFF" w:val="clear"/>
            <w:tcMar>
              <w:bottom w:w="0" w:type="dxa"/>
            </w:tcMar>
            <w:vAlign w:val="center"/>
          </w:tcPr>
          <w:p>
            <w:pPr>
              <w:pStyle w:val="TableContents"/>
              <w:bidi w:val="0"/>
              <w:spacing w:before="0" w:after="283"/>
              <w:jc w:val="left"/>
              <w:rPr/>
            </w:pPr>
            <w:r>
              <w:rPr/>
              <w:t>​</w:t>
            </w:r>
          </w:p>
        </w:tc>
        <w:tc>
          <w:tcPr>
            <w:tcW w:w="580"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w:t>
            </w:r>
          </w:p>
        </w:tc>
        <w:tc>
          <w:tcPr>
            <w:tcW w:w="2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6" w:type="dxa"/>
            <w:tcBorders/>
            <w:tcMar>
              <w:bottom w:w="0" w:type="dxa"/>
            </w:tcMar>
            <w:vAlign w:val="center"/>
          </w:tcPr>
          <w:p>
            <w:pPr>
              <w:pStyle w:val="TableContents"/>
              <w:bidi w:val="0"/>
              <w:spacing w:before="0" w:after="0"/>
              <w:jc w:val="left"/>
              <w:rPr>
                <w:spacing w:val="4"/>
              </w:rPr>
            </w:pPr>
            <w:r>
              <w:rPr>
                <w:spacing w:val="4"/>
              </w:rPr>
              <w:t xml:space="preserve">Net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283"/>
              <w:jc w:val="right"/>
              <w:rPr/>
            </w:pPr>
            <w:r>
              <w:rPr/>
              <w:t>​</w:t>
            </w:r>
          </w:p>
        </w:tc>
        <w:tc>
          <w:tcPr>
            <w:tcW w:w="1354" w:type="dxa"/>
            <w:tcBorders/>
            <w:tcMar>
              <w:bottom w:w="0" w:type="dxa"/>
            </w:tcMar>
            <w:vAlign w:val="center"/>
          </w:tcPr>
          <w:p>
            <w:pPr>
              <w:pStyle w:val="TableContents"/>
              <w:bidi w:val="0"/>
              <w:spacing w:before="0" w:after="283"/>
              <w:jc w:val="right"/>
              <w:rPr/>
            </w:pPr>
            <w:r>
              <w:rPr/>
              <w:t>123,554</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 w:type="dxa"/>
            <w:tcBorders/>
            <w:tcMar>
              <w:bottom w:w="0" w:type="dxa"/>
            </w:tcMar>
            <w:vAlign w:val="center"/>
          </w:tcPr>
          <w:p>
            <w:pPr>
              <w:pStyle w:val="TableContents"/>
              <w:bidi w:val="0"/>
              <w:spacing w:before="0" w:after="283"/>
              <w:jc w:val="left"/>
              <w:rPr/>
            </w:pPr>
            <w:r>
              <w:rPr/>
              <w:t>​</w:t>
            </w:r>
          </w:p>
        </w:tc>
        <w:tc>
          <w:tcPr>
            <w:tcW w:w="580" w:type="dxa"/>
            <w:tcBorders/>
            <w:tcMar>
              <w:bottom w:w="0" w:type="dxa"/>
            </w:tcMar>
            <w:vAlign w:val="center"/>
          </w:tcPr>
          <w:p>
            <w:pPr>
              <w:pStyle w:val="TableContents"/>
              <w:bidi w:val="0"/>
              <w:spacing w:before="0" w:after="0"/>
              <w:jc w:val="right"/>
              <w:rPr/>
            </w:pPr>
            <w:r>
              <w:rPr/>
              <w:t>​</w:t>
            </w:r>
          </w:p>
        </w:tc>
        <w:tc>
          <w:tcPr>
            <w:tcW w:w="890" w:type="dxa"/>
            <w:tcBorders/>
            <w:tcMar>
              <w:bottom w:w="0" w:type="dxa"/>
            </w:tcMar>
            <w:vAlign w:val="center"/>
          </w:tcPr>
          <w:p>
            <w:pPr>
              <w:pStyle w:val="TableContents"/>
              <w:bidi w:val="0"/>
              <w:spacing w:before="0" w:after="0"/>
              <w:jc w:val="right"/>
              <w:rPr/>
            </w:pPr>
            <w:r>
              <w:rPr/>
              <w:t>—</w:t>
            </w:r>
          </w:p>
        </w:tc>
        <w:tc>
          <w:tcPr>
            <w:tcW w:w="2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6" w:type="dxa"/>
            <w:tcBorders/>
            <w:shd w:fill="CCEEFF" w:val="clear"/>
            <w:tcMar>
              <w:bottom w:w="0" w:type="dxa"/>
            </w:tcMar>
            <w:vAlign w:val="center"/>
          </w:tcPr>
          <w:p>
            <w:pPr>
              <w:pStyle w:val="TableContents"/>
              <w:bidi w:val="0"/>
              <w:spacing w:before="0" w:after="0"/>
              <w:jc w:val="left"/>
              <w:rPr>
                <w:b w:val="false"/>
                <w:spacing w:val="4"/>
              </w:rPr>
            </w:pPr>
            <w:r>
              <w:rPr>
                <w:b w:val="false"/>
                <w:spacing w:val="4"/>
              </w:rPr>
              <w:t xml:space="preserve">Cash paid for operating 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54"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9" w:type="dxa"/>
            <w:tcBorders/>
            <w:shd w:fill="CCEEFF" w:val="clear"/>
            <w:tcMar>
              <w:bottom w:w="0" w:type="dxa"/>
            </w:tcMar>
            <w:vAlign w:val="center"/>
          </w:tcPr>
          <w:p>
            <w:pPr>
              <w:pStyle w:val="TableContents"/>
              <w:bidi w:val="0"/>
              <w:spacing w:before="0" w:after="283"/>
              <w:jc w:val="left"/>
              <w:rPr/>
            </w:pPr>
            <w:r>
              <w:rPr/>
              <w:t>​</w:t>
            </w:r>
          </w:p>
        </w:tc>
        <w:tc>
          <w:tcPr>
            <w:tcW w:w="580"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90"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2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OPERATING LEASE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81">
                <wp:simplePos x="0" y="0"/>
                <wp:positionH relativeFrom="column">
                  <wp:align>left</wp:align>
                </wp:positionH>
                <wp:positionV relativeFrom="line">
                  <wp:align>top</wp:align>
                </wp:positionV>
                <wp:extent cx="254000" cy="175260"/>
                <wp:effectExtent l="0" t="0" r="0" b="0"/>
                <wp:wrapSquare wrapText="right"/>
                <wp:docPr id="378" name="Frame373"/>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b/>
                              </w:rPr>
                            </w:pPr>
                            <w:r>
                              <w:rPr>
                                <w:b/>
                                <w:spacing w:val="-4"/>
                              </w:rPr>
                              <w:t>9.</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9.</w:t>
                      </w:r>
                      <w:r>
                        <w:rPr>
                          <w:b/>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balance sheet information as of November 30, 2025 and 2024: </w:t>
      </w:r>
    </w:p>
    <w:tbl>
      <w:tblPr>
        <w:tblW w:w="8812" w:type="dxa"/>
        <w:jc w:val="left"/>
        <w:tblInd w:w="1393" w:type="dxa"/>
        <w:tblLayout w:type="fixed"/>
        <w:tblCellMar>
          <w:top w:w="0" w:type="dxa"/>
          <w:left w:w="0" w:type="dxa"/>
          <w:bottom w:w="50" w:type="dxa"/>
          <w:right w:w="0" w:type="dxa"/>
        </w:tblCellMar>
      </w:tblPr>
      <w:tblGrid>
        <w:gridCol w:w="4257"/>
        <w:gridCol w:w="109"/>
        <w:gridCol w:w="109"/>
        <w:gridCol w:w="177"/>
        <w:gridCol w:w="369"/>
        <w:gridCol w:w="1255"/>
        <w:gridCol w:w="179"/>
        <w:gridCol w:w="109"/>
        <w:gridCol w:w="109"/>
        <w:gridCol w:w="272"/>
        <w:gridCol w:w="565"/>
        <w:gridCol w:w="867"/>
        <w:gridCol w:w="276"/>
        <w:gridCol w:w="159"/>
      </w:tblGrid>
      <w:tr>
        <w:trPr/>
        <w:tc>
          <w:tcPr>
            <w:tcW w:w="4257" w:type="dxa"/>
            <w:tcBorders>
              <w:bottom w:val="single" w:sz="2" w:space="0" w:color="000000"/>
            </w:tcBorders>
            <w:vAlign w:val="center"/>
          </w:tcPr>
          <w:p>
            <w:pPr>
              <w:pStyle w:val="TableContents"/>
              <w:bidi w:val="0"/>
              <w:spacing w:before="0" w:after="0"/>
              <w:jc w:val="left"/>
              <w:rPr>
                <w:spacing w:val="-3"/>
              </w:rPr>
            </w:pPr>
            <w:r>
              <w:rPr>
                <w:spacing w:val="-3"/>
              </w:rPr>
              <w:t xml:space="preserve">Lease liability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8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November 30, 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8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November 30, 2024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57" w:type="dxa"/>
            <w:tcBorders/>
            <w:shd w:fill="CCEEFF" w:val="clear"/>
            <w:tcMar>
              <w:bottom w:w="0" w:type="dxa"/>
            </w:tcMar>
            <w:vAlign w:val="center"/>
          </w:tcPr>
          <w:p>
            <w:pPr>
              <w:pStyle w:val="TableContents"/>
              <w:bidi w:val="0"/>
              <w:spacing w:before="0" w:after="0"/>
              <w:jc w:val="left"/>
              <w:rPr>
                <w:spacing w:val="4"/>
              </w:rPr>
            </w:pPr>
            <w:r>
              <w:rPr>
                <w:spacing w:val="4"/>
              </w:rPr>
              <w:t xml:space="preserve">Current portion of operating lease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369" w:type="dxa"/>
            <w:tcBorders/>
            <w:shd w:fill="CCEEFF" w:val="clear"/>
            <w:tcMar>
              <w:bottom w:w="0" w:type="dxa"/>
            </w:tcMar>
            <w:vAlign w:val="center"/>
          </w:tcPr>
          <w:p>
            <w:pPr>
              <w:pStyle w:val="TableContents"/>
              <w:bidi w:val="0"/>
              <w:spacing w:before="0" w:after="283"/>
              <w:jc w:val="right"/>
              <w:rPr/>
            </w:pPr>
            <w:r>
              <w:rPr/>
              <w:t>​</w:t>
            </w:r>
          </w:p>
        </w:tc>
        <w:tc>
          <w:tcPr>
            <w:tcW w:w="1255" w:type="dxa"/>
            <w:tcBorders/>
            <w:shd w:fill="CCEEFF" w:val="clear"/>
            <w:tcMar>
              <w:bottom w:w="0" w:type="dxa"/>
            </w:tcMar>
            <w:vAlign w:val="center"/>
          </w:tcPr>
          <w:p>
            <w:pPr>
              <w:pStyle w:val="TableContents"/>
              <w:bidi w:val="0"/>
              <w:spacing w:before="0" w:after="283"/>
              <w:jc w:val="right"/>
              <w:rPr/>
            </w:pPr>
            <w:r>
              <w:rPr/>
              <w:t>33,155</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2" w:type="dxa"/>
            <w:tcBorders/>
            <w:shd w:fill="CCEEFF" w:val="clear"/>
            <w:tcMar>
              <w:bottom w:w="0" w:type="dxa"/>
            </w:tcMar>
            <w:vAlign w:val="center"/>
          </w:tcPr>
          <w:p>
            <w:pPr>
              <w:pStyle w:val="TableContents"/>
              <w:bidi w:val="0"/>
              <w:spacing w:before="0" w:after="283"/>
              <w:jc w:val="left"/>
              <w:rPr/>
            </w:pPr>
            <w:r>
              <w:rPr/>
              <w:t>​</w:t>
            </w:r>
          </w:p>
        </w:tc>
        <w:tc>
          <w:tcPr>
            <w:tcW w:w="56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27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257" w:type="dxa"/>
            <w:tcBorders>
              <w:bottom w:val="single" w:sz="2" w:space="0" w:color="FFFFFF"/>
            </w:tcBorders>
            <w:vAlign w:val="center"/>
          </w:tcPr>
          <w:p>
            <w:pPr>
              <w:pStyle w:val="TableContents"/>
              <w:bidi w:val="0"/>
              <w:spacing w:before="0" w:after="0"/>
              <w:jc w:val="left"/>
              <w:rPr>
                <w:spacing w:val="4"/>
              </w:rPr>
            </w:pPr>
            <w:r>
              <w:rPr>
                <w:spacing w:val="4"/>
              </w:rPr>
              <w:t xml:space="preserve">Long-term portion of operating lease liability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7" w:type="dxa"/>
            <w:tcBorders>
              <w:bottom w:val="single" w:sz="2" w:space="0" w:color="FFFFFF"/>
            </w:tcBorders>
            <w:tcMar>
              <w:bottom w:w="28" w:type="dxa"/>
            </w:tcMar>
            <w:vAlign w:val="center"/>
          </w:tcPr>
          <w:p>
            <w:pPr>
              <w:pStyle w:val="TableContents"/>
              <w:bidi w:val="0"/>
              <w:spacing w:before="0" w:after="283"/>
              <w:jc w:val="left"/>
              <w:rPr/>
            </w:pPr>
            <w:r>
              <w:rPr/>
              <w:t>​</w:t>
            </w:r>
          </w:p>
        </w:tc>
        <w:tc>
          <w:tcPr>
            <w:tcW w:w="369" w:type="dxa"/>
            <w:tcBorders>
              <w:bottom w:val="single" w:sz="2" w:space="0" w:color="000000"/>
            </w:tcBorders>
            <w:vAlign w:val="center"/>
          </w:tcPr>
          <w:p>
            <w:pPr>
              <w:pStyle w:val="TableContents"/>
              <w:bidi w:val="0"/>
              <w:spacing w:before="0" w:after="283"/>
              <w:jc w:val="right"/>
              <w:rPr/>
            </w:pPr>
            <w:r>
              <w:rPr/>
              <w:t>​</w:t>
            </w:r>
          </w:p>
        </w:tc>
        <w:tc>
          <w:tcPr>
            <w:tcW w:w="1255" w:type="dxa"/>
            <w:tcBorders>
              <w:bottom w:val="single" w:sz="2" w:space="0" w:color="000000"/>
            </w:tcBorders>
            <w:vAlign w:val="center"/>
          </w:tcPr>
          <w:p>
            <w:pPr>
              <w:pStyle w:val="TableContents"/>
              <w:bidi w:val="0"/>
              <w:spacing w:before="0" w:after="283"/>
              <w:jc w:val="right"/>
              <w:rPr/>
            </w:pPr>
            <w:r>
              <w:rPr/>
              <w:t>55,086</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2" w:type="dxa"/>
            <w:tcBorders>
              <w:bottom w:val="single" w:sz="2" w:space="0" w:color="FFFFFF"/>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vAlign w:val="center"/>
          </w:tcPr>
          <w:p>
            <w:pPr>
              <w:pStyle w:val="TableContents"/>
              <w:bidi w:val="0"/>
              <w:spacing w:before="0" w:after="283"/>
              <w:jc w:val="right"/>
              <w:rPr/>
            </w:pPr>
            <w:r>
              <w:rPr/>
              <w:t>​</w:t>
            </w:r>
          </w:p>
        </w:tc>
        <w:tc>
          <w:tcPr>
            <w:tcW w:w="867" w:type="dxa"/>
            <w:tcBorders>
              <w:bottom w:val="single" w:sz="2" w:space="0" w:color="000000"/>
            </w:tcBorders>
            <w:vAlign w:val="center"/>
          </w:tcPr>
          <w:p>
            <w:pPr>
              <w:pStyle w:val="TableContents"/>
              <w:bidi w:val="0"/>
              <w:spacing w:before="0" w:after="283"/>
              <w:jc w:val="right"/>
              <w:rPr/>
            </w:pPr>
            <w:r>
              <w:rPr/>
              <w:t>—</w:t>
            </w:r>
          </w:p>
        </w:tc>
        <w:tc>
          <w:tcPr>
            <w:tcW w:w="276"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369" w:type="dxa"/>
            <w:tcBorders>
              <w:bottom w:val="double" w:sz="8" w:space="0" w:color="000000"/>
            </w:tcBorders>
            <w:shd w:fill="CCEEFF" w:val="clear"/>
            <w:vAlign w:val="center"/>
          </w:tcPr>
          <w:p>
            <w:pPr>
              <w:pStyle w:val="TableContents"/>
              <w:bidi w:val="0"/>
              <w:spacing w:before="0" w:after="283"/>
              <w:jc w:val="right"/>
              <w:rPr/>
            </w:pPr>
            <w:r>
              <w:rPr/>
              <w:t>$</w:t>
            </w:r>
          </w:p>
        </w:tc>
        <w:tc>
          <w:tcPr>
            <w:tcW w:w="1255" w:type="dxa"/>
            <w:tcBorders>
              <w:bottom w:val="double" w:sz="8" w:space="0" w:color="000000"/>
            </w:tcBorders>
            <w:shd w:fill="CCEEFF" w:val="clear"/>
            <w:vAlign w:val="center"/>
          </w:tcPr>
          <w:p>
            <w:pPr>
              <w:pStyle w:val="TableContents"/>
              <w:bidi w:val="0"/>
              <w:spacing w:before="0" w:after="283"/>
              <w:jc w:val="right"/>
              <w:rPr/>
            </w:pPr>
            <w:r>
              <w:rPr/>
              <w:t>88,241</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2" w:type="dxa"/>
            <w:tcBorders/>
            <w:shd w:fill="CCEEFF" w:val="clear"/>
            <w:tcMar>
              <w:bottom w:w="0" w:type="dxa"/>
            </w:tcMar>
            <w:vAlign w:val="center"/>
          </w:tcPr>
          <w:p>
            <w:pPr>
              <w:pStyle w:val="TableContents"/>
              <w:bidi w:val="0"/>
              <w:spacing w:before="0" w:after="283"/>
              <w:jc w:val="left"/>
              <w:rPr/>
            </w:pPr>
            <w:r>
              <w:rPr/>
              <w:t>​</w:t>
            </w:r>
          </w:p>
        </w:tc>
        <w:tc>
          <w:tcPr>
            <w:tcW w:w="565" w:type="dxa"/>
            <w:tcBorders>
              <w:bottom w:val="double" w:sz="8" w:space="0" w:color="000000"/>
            </w:tcBorders>
            <w:shd w:fill="CCEEFF" w:val="clear"/>
            <w:vAlign w:val="center"/>
          </w:tcPr>
          <w:p>
            <w:pPr>
              <w:pStyle w:val="TableContents"/>
              <w:bidi w:val="0"/>
              <w:spacing w:before="0" w:after="283"/>
              <w:jc w:val="right"/>
              <w:rPr/>
            </w:pPr>
            <w:r>
              <w:rPr/>
              <w:t>$</w:t>
            </w:r>
          </w:p>
        </w:tc>
        <w:tc>
          <w:tcPr>
            <w:tcW w:w="867" w:type="dxa"/>
            <w:tcBorders>
              <w:bottom w:val="double" w:sz="8" w:space="0" w:color="000000"/>
            </w:tcBorders>
            <w:shd w:fill="CCEEFF" w:val="clear"/>
            <w:vAlign w:val="center"/>
          </w:tcPr>
          <w:p>
            <w:pPr>
              <w:pStyle w:val="TableContents"/>
              <w:bidi w:val="0"/>
              <w:spacing w:before="0" w:after="283"/>
              <w:jc w:val="right"/>
              <w:rPr/>
            </w:pPr>
            <w:r>
              <w:rPr/>
              <w:t> —</w:t>
            </w:r>
          </w:p>
        </w:tc>
        <w:tc>
          <w:tcPr>
            <w:tcW w:w="27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minimum lease payments to be paid by the Company as a lessee as of November 30, 2025 are as follows: </w:t>
      </w:r>
    </w:p>
    <w:tbl>
      <w:tblPr>
        <w:tblW w:w="6715" w:type="dxa"/>
        <w:jc w:val="left"/>
        <w:tblInd w:w="1393" w:type="dxa"/>
        <w:tblLayout w:type="fixed"/>
        <w:tblCellMar>
          <w:top w:w="0" w:type="dxa"/>
          <w:left w:w="0" w:type="dxa"/>
          <w:bottom w:w="0" w:type="dxa"/>
          <w:right w:w="0" w:type="dxa"/>
        </w:tblCellMar>
      </w:tblPr>
      <w:tblGrid>
        <w:gridCol w:w="124"/>
        <w:gridCol w:w="4859"/>
        <w:gridCol w:w="109"/>
        <w:gridCol w:w="109"/>
        <w:gridCol w:w="109"/>
        <w:gridCol w:w="226"/>
        <w:gridCol w:w="91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859" w:type="dxa"/>
            <w:tcBorders/>
            <w:shd w:fill="CCEEFF" w:val="clear"/>
            <w:vAlign w:val="center"/>
          </w:tcPr>
          <w:p>
            <w:pPr>
              <w:pStyle w:val="TableContents"/>
              <w:bidi w:val="0"/>
              <w:spacing w:before="0" w:after="283"/>
              <w:jc w:val="left"/>
              <w:rPr>
                <w:spacing w:val="4"/>
              </w:rPr>
            </w:pPr>
            <w:r>
              <w:rPr>
                <w:spacing w:val="4"/>
              </w:rPr>
              <w:t xml:space="preserve">Operating lease commitments and lease liability: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1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59" w:type="dxa"/>
            <w:tcBorders/>
            <w:vAlign w:val="center"/>
          </w:tcPr>
          <w:p>
            <w:pPr>
              <w:pStyle w:val="TableContents"/>
              <w:bidi w:val="0"/>
              <w:spacing w:before="0" w:after="0"/>
              <w:jc w:val="left"/>
              <w:rPr>
                <w:spacing w:val="4"/>
              </w:rPr>
            </w:pPr>
            <w:r>
              <w:rPr>
                <w:spacing w:val="4"/>
              </w:rPr>
              <w:t xml:space="preserve">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16" w:type="dxa"/>
            <w:tcBorders/>
            <w:vAlign w:val="center"/>
          </w:tcPr>
          <w:p>
            <w:pPr>
              <w:pStyle w:val="TableContents"/>
              <w:bidi w:val="0"/>
              <w:spacing w:before="0" w:after="283"/>
              <w:jc w:val="right"/>
              <w:rPr/>
            </w:pPr>
            <w:r>
              <w:rPr/>
              <w:t>40,830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59" w:type="dxa"/>
            <w:tcBorders/>
            <w:shd w:fill="CCEEFF" w:val="clear"/>
            <w:vAlign w:val="center"/>
          </w:tcPr>
          <w:p>
            <w:pPr>
              <w:pStyle w:val="TableContents"/>
              <w:bidi w:val="0"/>
              <w:spacing w:before="0" w:after="0"/>
              <w:jc w:val="left"/>
              <w:rPr>
                <w:spacing w:val="4"/>
              </w:rPr>
            </w:pPr>
            <w:r>
              <w:rPr>
                <w:spacing w:val="4"/>
              </w:rPr>
              <w:t xml:space="preserve">2027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16" w:type="dxa"/>
            <w:tcBorders/>
            <w:shd w:fill="CCEEFF" w:val="clear"/>
            <w:vAlign w:val="center"/>
          </w:tcPr>
          <w:p>
            <w:pPr>
              <w:pStyle w:val="TableContents"/>
              <w:bidi w:val="0"/>
              <w:spacing w:before="0" w:after="283"/>
              <w:jc w:val="right"/>
              <w:rPr/>
            </w:pPr>
            <w:r>
              <w:rPr/>
              <w:t>50,197</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859"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2028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8,406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59" w:type="dxa"/>
            <w:tcBorders/>
            <w:shd w:fill="CCEEFF" w:val="clear"/>
            <w:vAlign w:val="center"/>
          </w:tcPr>
          <w:p>
            <w:pPr>
              <w:pStyle w:val="TableContents"/>
              <w:bidi w:val="0"/>
              <w:spacing w:before="0" w:after="0"/>
              <w:jc w:val="left"/>
              <w:rPr>
                <w:spacing w:val="4"/>
              </w:rPr>
            </w:pPr>
            <w:r>
              <w:rPr>
                <w:spacing w:val="4"/>
              </w:rPr>
              <w:t xml:space="preserve">Total future minimum lease payments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16" w:type="dxa"/>
            <w:tcBorders/>
            <w:shd w:fill="CCEEFF" w:val="clear"/>
            <w:vAlign w:val="center"/>
          </w:tcPr>
          <w:p>
            <w:pPr>
              <w:pStyle w:val="TableContents"/>
              <w:bidi w:val="0"/>
              <w:spacing w:before="0" w:after="283"/>
              <w:jc w:val="right"/>
              <w:rPr/>
            </w:pPr>
            <w:r>
              <w:rPr/>
              <w:t>99,433</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859"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Discount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(11,192)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59" w:type="dxa"/>
            <w:tcBorders/>
            <w:shd w:fill="CCEEFF" w:val="clear"/>
            <w:vAlign w:val="center"/>
          </w:tcPr>
          <w:p>
            <w:pPr>
              <w:pStyle w:val="TableContents"/>
              <w:bidi w:val="0"/>
              <w:spacing w:before="0" w:after="283"/>
              <w:jc w:val="left"/>
              <w:rPr/>
            </w:pPr>
            <w:r>
              <w:rPr>
                <w:spacing w:val="-4"/>
              </w:rPr>
              <w:t>Total</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88,241</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INCOME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reconciliation between the effective income tax rate and the federal statutory income tax rate is as follows: </w:t>
      </w:r>
    </w:p>
    <w:tbl>
      <w:tblPr>
        <w:tblW w:w="8812" w:type="dxa"/>
        <w:jc w:val="left"/>
        <w:tblInd w:w="1393" w:type="dxa"/>
        <w:tblLayout w:type="fixed"/>
        <w:tblCellMar>
          <w:top w:w="0" w:type="dxa"/>
          <w:left w:w="0" w:type="dxa"/>
          <w:bottom w:w="28" w:type="dxa"/>
          <w:right w:w="0" w:type="dxa"/>
        </w:tblCellMar>
      </w:tblPr>
      <w:tblGrid>
        <w:gridCol w:w="3800"/>
        <w:gridCol w:w="109"/>
        <w:gridCol w:w="109"/>
        <w:gridCol w:w="129"/>
        <w:gridCol w:w="268"/>
        <w:gridCol w:w="1432"/>
        <w:gridCol w:w="129"/>
        <w:gridCol w:w="109"/>
        <w:gridCol w:w="109"/>
        <w:gridCol w:w="162"/>
        <w:gridCol w:w="336"/>
        <w:gridCol w:w="1801"/>
        <w:gridCol w:w="162"/>
        <w:gridCol w:w="157"/>
      </w:tblGrid>
      <w:tr>
        <w:trPr/>
        <w:tc>
          <w:tcPr>
            <w:tcW w:w="38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5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year ended</w:t>
            </w:r>
            <w:r>
              <w:rPr/>
              <w:t xml:space="preserve"> </w:t>
              <w:br/>
            </w:r>
            <w:r>
              <w:rPr>
                <w:spacing w:val="-3"/>
              </w:rPr>
              <w:t xml:space="preserve">November 30,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Period from December 14, </w:t>
            </w:r>
            <w:r>
              <w:rPr/>
              <w:br/>
            </w:r>
            <w:r>
              <w:rPr>
                <w:spacing w:val="-3"/>
              </w:rPr>
              <w:t>2023 (inception)</w:t>
            </w:r>
            <w:r>
              <w:rPr/>
              <w:t xml:space="preserve"> </w:t>
              <w:br/>
            </w:r>
            <w:r>
              <w:rPr>
                <w:spacing w:val="-3"/>
              </w:rPr>
              <w:t>through November 30,</w:t>
            </w:r>
            <w:r>
              <w:rPr/>
              <w:t xml:space="preserve"> </w:t>
              <w:br/>
            </w:r>
            <w:r>
              <w:rPr>
                <w:spacing w:val="-3"/>
              </w:rPr>
              <w:t xml:space="preserve">2024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80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Loss before income taxes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9" w:type="dxa"/>
            <w:tcBorders>
              <w:bottom w:val="single" w:sz="2" w:space="0" w:color="CCEEFF"/>
            </w:tcBorders>
            <w:shd w:fill="CCEEFF" w:val="clear"/>
            <w:vAlign w:val="center"/>
          </w:tcPr>
          <w:p>
            <w:pPr>
              <w:pStyle w:val="TableContents"/>
              <w:bidi w:val="0"/>
              <w:spacing w:before="0" w:after="283"/>
              <w:jc w:val="left"/>
              <w:rPr/>
            </w:pPr>
            <w:r>
              <w:rPr/>
              <w:t>​</w:t>
            </w:r>
          </w:p>
        </w:tc>
        <w:tc>
          <w:tcPr>
            <w:tcW w:w="2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32" w:type="dxa"/>
            <w:tcBorders>
              <w:bottom w:val="single" w:sz="2" w:space="0" w:color="000000"/>
            </w:tcBorders>
            <w:shd w:fill="CCEEFF" w:val="clear"/>
            <w:tcMar>
              <w:bottom w:w="50" w:type="dxa"/>
            </w:tcMar>
            <w:vAlign w:val="center"/>
          </w:tcPr>
          <w:p>
            <w:pPr>
              <w:pStyle w:val="TableContents"/>
              <w:bidi w:val="0"/>
              <w:spacing w:before="0" w:after="283"/>
              <w:jc w:val="right"/>
              <w:rPr/>
            </w:pPr>
            <w:r>
              <w:rPr/>
              <w:t>(5,260,632)</w:t>
            </w:r>
          </w:p>
        </w:tc>
        <w:tc>
          <w:tcPr>
            <w:tcW w:w="12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c>
          <w:tcPr>
            <w:tcW w:w="3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01" w:type="dxa"/>
            <w:tcBorders>
              <w:bottom w:val="single" w:sz="2" w:space="0" w:color="000000"/>
            </w:tcBorders>
            <w:shd w:fill="CCEEFF" w:val="clear"/>
            <w:tcMar>
              <w:bottom w:w="50" w:type="dxa"/>
            </w:tcMar>
            <w:vAlign w:val="center"/>
          </w:tcPr>
          <w:p>
            <w:pPr>
              <w:pStyle w:val="TableContents"/>
              <w:bidi w:val="0"/>
              <w:spacing w:before="0" w:after="283"/>
              <w:jc w:val="right"/>
              <w:rPr/>
            </w:pPr>
            <w:r>
              <w:rPr/>
              <w:t>(1,020,057)</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800" w:type="dxa"/>
            <w:tcBorders/>
            <w:tcMar>
              <w:bottom w:w="0" w:type="dxa"/>
            </w:tcMar>
            <w:vAlign w:val="center"/>
          </w:tcPr>
          <w:p>
            <w:pPr>
              <w:pStyle w:val="TableContents"/>
              <w:bidi w:val="0"/>
              <w:spacing w:before="0" w:after="0"/>
              <w:jc w:val="left"/>
              <w:rPr>
                <w:spacing w:val="4"/>
              </w:rPr>
            </w:pPr>
            <w:r>
              <w:rPr>
                <w:spacing w:val="4"/>
              </w:rPr>
              <w:t xml:space="preserve">Expected recovery at statutory rate of 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1432" w:type="dxa"/>
            <w:tcBorders/>
            <w:tcMar>
              <w:bottom w:w="0" w:type="dxa"/>
            </w:tcMar>
            <w:vAlign w:val="center"/>
          </w:tcPr>
          <w:p>
            <w:pPr>
              <w:pStyle w:val="TableContents"/>
              <w:bidi w:val="0"/>
              <w:spacing w:before="0" w:after="283"/>
              <w:jc w:val="right"/>
              <w:rPr/>
            </w:pPr>
            <w:r>
              <w:rPr/>
              <w:t>(1,104,733)</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right"/>
              <w:rPr/>
            </w:pPr>
            <w:r>
              <w:rPr/>
              <w:t>​</w:t>
            </w:r>
          </w:p>
        </w:tc>
        <w:tc>
          <w:tcPr>
            <w:tcW w:w="1801" w:type="dxa"/>
            <w:tcBorders/>
            <w:tcMar>
              <w:bottom w:w="0" w:type="dxa"/>
            </w:tcMar>
            <w:vAlign w:val="center"/>
          </w:tcPr>
          <w:p>
            <w:pPr>
              <w:pStyle w:val="TableContents"/>
              <w:bidi w:val="0"/>
              <w:spacing w:before="0" w:after="283"/>
              <w:jc w:val="right"/>
              <w:rPr/>
            </w:pPr>
            <w:r>
              <w:rPr/>
              <w:t>(214,212)</w:t>
            </w:r>
          </w:p>
        </w:tc>
        <w:tc>
          <w:tcPr>
            <w:tcW w:w="16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800" w:type="dxa"/>
            <w:tcBorders/>
            <w:shd w:fill="CCEEFF" w:val="clear"/>
            <w:tcMar>
              <w:bottom w:w="0" w:type="dxa"/>
            </w:tcMar>
            <w:vAlign w:val="center"/>
          </w:tcPr>
          <w:p>
            <w:pPr>
              <w:pStyle w:val="TableContents"/>
              <w:bidi w:val="0"/>
              <w:spacing w:before="0" w:after="0"/>
              <w:jc w:val="left"/>
              <w:rPr>
                <w:spacing w:val="4"/>
              </w:rPr>
            </w:pPr>
            <w:r>
              <w:rPr>
                <w:spacing w:val="4"/>
              </w:rPr>
              <w:t xml:space="preserve">Permanent book/tax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1432" w:type="dxa"/>
            <w:tcBorders/>
            <w:shd w:fill="CCEEFF" w:val="clear"/>
            <w:tcMar>
              <w:bottom w:w="0" w:type="dxa"/>
            </w:tcMar>
            <w:vAlign w:val="center"/>
          </w:tcPr>
          <w:p>
            <w:pPr>
              <w:pStyle w:val="TableContents"/>
              <w:bidi w:val="0"/>
              <w:spacing w:before="0" w:after="283"/>
              <w:jc w:val="right"/>
              <w:rPr/>
            </w:pPr>
            <w:r>
              <w:rPr/>
              <w:t>17,225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336" w:type="dxa"/>
            <w:tcBorders/>
            <w:shd w:fill="CCEEFF" w:val="clear"/>
            <w:tcMar>
              <w:bottom w:w="0" w:type="dxa"/>
            </w:tcMar>
            <w:vAlign w:val="center"/>
          </w:tcPr>
          <w:p>
            <w:pPr>
              <w:pStyle w:val="TableContents"/>
              <w:bidi w:val="0"/>
              <w:spacing w:before="0" w:after="283"/>
              <w:jc w:val="right"/>
              <w:rPr/>
            </w:pPr>
            <w:r>
              <w:rPr/>
              <w:t>​</w:t>
            </w:r>
          </w:p>
        </w:tc>
        <w:tc>
          <w:tcPr>
            <w:tcW w:w="1801" w:type="dxa"/>
            <w:tcBorders/>
            <w:shd w:fill="CCEEFF" w:val="clear"/>
            <w:tcMar>
              <w:bottom w:w="0" w:type="dxa"/>
            </w:tcMar>
            <w:vAlign w:val="center"/>
          </w:tcPr>
          <w:p>
            <w:pPr>
              <w:pStyle w:val="TableContents"/>
              <w:bidi w:val="0"/>
              <w:spacing w:before="0" w:after="283"/>
              <w:jc w:val="right"/>
              <w:rPr/>
            </w:pPr>
            <w:r>
              <w:rPr/>
              <w:t>3,230</w:t>
            </w:r>
          </w:p>
        </w:tc>
        <w:tc>
          <w:tcPr>
            <w:tcW w:w="162"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800" w:type="dxa"/>
            <w:tcBorders/>
            <w:tcMar>
              <w:bottom w:w="0" w:type="dxa"/>
            </w:tcMar>
            <w:vAlign w:val="center"/>
          </w:tcPr>
          <w:p>
            <w:pPr>
              <w:pStyle w:val="TableContents"/>
              <w:bidi w:val="0"/>
              <w:spacing w:before="0" w:after="0"/>
              <w:jc w:val="left"/>
              <w:rPr>
                <w:spacing w:val="4"/>
              </w:rPr>
            </w:pPr>
            <w:r>
              <w:rPr>
                <w:spacing w:val="4"/>
              </w:rPr>
              <w:t xml:space="preserve">Financing fees charged to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1432" w:type="dxa"/>
            <w:tcBorders/>
            <w:tcMar>
              <w:bottom w:w="0" w:type="dxa"/>
            </w:tcMar>
            <w:vAlign w:val="center"/>
          </w:tcPr>
          <w:p>
            <w:pPr>
              <w:pStyle w:val="TableContents"/>
              <w:bidi w:val="0"/>
              <w:spacing w:before="0" w:after="283"/>
              <w:jc w:val="right"/>
              <w:rPr/>
            </w:pPr>
            <w:r>
              <w:rPr/>
              <w:t>—</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right"/>
              <w:rPr/>
            </w:pPr>
            <w:r>
              <w:rPr/>
              <w:t>​</w:t>
            </w:r>
          </w:p>
        </w:tc>
        <w:tc>
          <w:tcPr>
            <w:tcW w:w="1801" w:type="dxa"/>
            <w:tcBorders/>
            <w:tcMar>
              <w:bottom w:w="0" w:type="dxa"/>
            </w:tcMar>
            <w:vAlign w:val="center"/>
          </w:tcPr>
          <w:p>
            <w:pPr>
              <w:pStyle w:val="TableContents"/>
              <w:bidi w:val="0"/>
              <w:spacing w:before="0" w:after="283"/>
              <w:jc w:val="right"/>
              <w:rPr/>
            </w:pPr>
            <w:r>
              <w:rPr/>
              <w:t>(1,771)</w:t>
            </w:r>
          </w:p>
        </w:tc>
        <w:tc>
          <w:tcPr>
            <w:tcW w:w="16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800"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estimate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1432" w:type="dxa"/>
            <w:tcBorders/>
            <w:shd w:fill="CCEEFF" w:val="clear"/>
            <w:tcMar>
              <w:bottom w:w="0" w:type="dxa"/>
            </w:tcMar>
            <w:vAlign w:val="center"/>
          </w:tcPr>
          <w:p>
            <w:pPr>
              <w:pStyle w:val="TableContents"/>
              <w:bidi w:val="0"/>
              <w:spacing w:before="0" w:after="283"/>
              <w:jc w:val="right"/>
              <w:rPr/>
            </w:pPr>
            <w:r>
              <w:rPr/>
              <w:t>1,771</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336" w:type="dxa"/>
            <w:tcBorders/>
            <w:shd w:fill="CCEEFF" w:val="clear"/>
            <w:tcMar>
              <w:bottom w:w="0" w:type="dxa"/>
            </w:tcMar>
            <w:vAlign w:val="center"/>
          </w:tcPr>
          <w:p>
            <w:pPr>
              <w:pStyle w:val="TableContents"/>
              <w:bidi w:val="0"/>
              <w:spacing w:before="0" w:after="283"/>
              <w:jc w:val="right"/>
              <w:rPr/>
            </w:pPr>
            <w:r>
              <w:rPr/>
              <w:t>​</w:t>
            </w:r>
          </w:p>
        </w:tc>
        <w:tc>
          <w:tcPr>
            <w:tcW w:w="1801" w:type="dxa"/>
            <w:tcBorders/>
            <w:shd w:fill="CCEEFF" w:val="clear"/>
            <w:tcMar>
              <w:bottom w:w="0" w:type="dxa"/>
            </w:tcMar>
            <w:vAlign w:val="center"/>
          </w:tcPr>
          <w:p>
            <w:pPr>
              <w:pStyle w:val="TableContents"/>
              <w:bidi w:val="0"/>
              <w:spacing w:before="0" w:after="283"/>
              <w:jc w:val="righ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8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Change in valuation allowance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 w:type="dxa"/>
            <w:tcBorders>
              <w:bottom w:val="single" w:sz="2" w:space="0" w:color="FFFFFF"/>
            </w:tcBorders>
            <w:vAlign w:val="center"/>
          </w:tcPr>
          <w:p>
            <w:pPr>
              <w:pStyle w:val="TableContents"/>
              <w:bidi w:val="0"/>
              <w:spacing w:before="0" w:after="283"/>
              <w:jc w:val="left"/>
              <w:rPr/>
            </w:pPr>
            <w:r>
              <w:rPr/>
              <w:t>​</w:t>
            </w:r>
          </w:p>
        </w:tc>
        <w:tc>
          <w:tcPr>
            <w:tcW w:w="268" w:type="dxa"/>
            <w:tcBorders>
              <w:bottom w:val="single" w:sz="2" w:space="0" w:color="000000"/>
            </w:tcBorders>
            <w:tcMar>
              <w:bottom w:w="50" w:type="dxa"/>
            </w:tcMar>
            <w:vAlign w:val="center"/>
          </w:tcPr>
          <w:p>
            <w:pPr>
              <w:pStyle w:val="TableContents"/>
              <w:bidi w:val="0"/>
              <w:spacing w:before="0" w:after="283"/>
              <w:jc w:val="right"/>
              <w:rPr/>
            </w:pPr>
            <w:r>
              <w:rPr/>
              <w:t>​</w:t>
            </w:r>
          </w:p>
        </w:tc>
        <w:tc>
          <w:tcPr>
            <w:tcW w:w="1432" w:type="dxa"/>
            <w:tcBorders>
              <w:bottom w:val="single" w:sz="2" w:space="0" w:color="000000"/>
            </w:tcBorders>
            <w:tcMar>
              <w:bottom w:w="50" w:type="dxa"/>
            </w:tcMar>
            <w:vAlign w:val="center"/>
          </w:tcPr>
          <w:p>
            <w:pPr>
              <w:pStyle w:val="TableContents"/>
              <w:bidi w:val="0"/>
              <w:spacing w:before="0" w:after="283"/>
              <w:jc w:val="right"/>
              <w:rPr/>
            </w:pPr>
            <w:r>
              <w:rPr/>
              <w:t>1,085,737</w:t>
            </w:r>
          </w:p>
        </w:tc>
        <w:tc>
          <w:tcPr>
            <w:tcW w:w="1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 w:type="dxa"/>
            <w:tcBorders>
              <w:bottom w:val="single" w:sz="2" w:space="0" w:color="FFFFFF"/>
            </w:tcBorders>
            <w:vAlign w:val="center"/>
          </w:tcPr>
          <w:p>
            <w:pPr>
              <w:pStyle w:val="TableContents"/>
              <w:bidi w:val="0"/>
              <w:spacing w:before="0" w:after="283"/>
              <w:jc w:val="left"/>
              <w:rPr/>
            </w:pPr>
            <w:r>
              <w:rPr/>
              <w:t>​</w:t>
            </w:r>
          </w:p>
        </w:tc>
        <w:tc>
          <w:tcPr>
            <w:tcW w:w="336" w:type="dxa"/>
            <w:tcBorders>
              <w:bottom w:val="single" w:sz="2" w:space="0" w:color="000000"/>
            </w:tcBorders>
            <w:tcMar>
              <w:bottom w:w="50" w:type="dxa"/>
            </w:tcMar>
            <w:vAlign w:val="center"/>
          </w:tcPr>
          <w:p>
            <w:pPr>
              <w:pStyle w:val="TableContents"/>
              <w:bidi w:val="0"/>
              <w:spacing w:before="0" w:after="283"/>
              <w:jc w:val="right"/>
              <w:rPr/>
            </w:pPr>
            <w:r>
              <w:rPr/>
              <w:t>​</w:t>
            </w:r>
          </w:p>
        </w:tc>
        <w:tc>
          <w:tcPr>
            <w:tcW w:w="1801" w:type="dxa"/>
            <w:tcBorders>
              <w:bottom w:val="single" w:sz="2" w:space="0" w:color="000000"/>
            </w:tcBorders>
            <w:tcMar>
              <w:bottom w:w="50" w:type="dxa"/>
            </w:tcMar>
            <w:vAlign w:val="center"/>
          </w:tcPr>
          <w:p>
            <w:pPr>
              <w:pStyle w:val="TableContents"/>
              <w:bidi w:val="0"/>
              <w:spacing w:before="0" w:after="283"/>
              <w:jc w:val="right"/>
              <w:rPr/>
            </w:pPr>
            <w:r>
              <w:rPr/>
              <w:t>212,753</w:t>
            </w:r>
          </w:p>
        </w:tc>
        <w:tc>
          <w:tcPr>
            <w:tcW w:w="162"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800" w:type="dxa"/>
            <w:tcBorders/>
            <w:shd w:fill="CCEEFF" w:val="clear"/>
            <w:tcMar>
              <w:bottom w:w="0" w:type="dxa"/>
            </w:tcMar>
            <w:vAlign w:val="center"/>
          </w:tcPr>
          <w:p>
            <w:pPr>
              <w:pStyle w:val="TableContents"/>
              <w:bidi w:val="0"/>
              <w:spacing w:before="0" w:after="0"/>
              <w:jc w:val="left"/>
              <w:rPr>
                <w:spacing w:val="4"/>
              </w:rPr>
            </w:pPr>
            <w:r>
              <w:rPr>
                <w:spacing w:val="4"/>
              </w:rPr>
              <w:t xml:space="preserve">Total tax benefit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43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33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80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tbl>
      <w:tblPr>
        <w:tblW w:w="7806" w:type="dxa"/>
        <w:jc w:val="left"/>
        <w:tblInd w:w="1393" w:type="dxa"/>
        <w:tblLayout w:type="fixed"/>
        <w:tblCellMar>
          <w:top w:w="0" w:type="dxa"/>
          <w:left w:w="0" w:type="dxa"/>
          <w:bottom w:w="28" w:type="dxa"/>
          <w:right w:w="0" w:type="dxa"/>
        </w:tblCellMar>
      </w:tblPr>
      <w:tblGrid>
        <w:gridCol w:w="2548"/>
        <w:gridCol w:w="109"/>
        <w:gridCol w:w="109"/>
        <w:gridCol w:w="295"/>
        <w:gridCol w:w="295"/>
        <w:gridCol w:w="1144"/>
        <w:gridCol w:w="299"/>
        <w:gridCol w:w="109"/>
        <w:gridCol w:w="109"/>
        <w:gridCol w:w="382"/>
        <w:gridCol w:w="382"/>
        <w:gridCol w:w="1483"/>
        <w:gridCol w:w="388"/>
        <w:gridCol w:w="154"/>
      </w:tblGrid>
      <w:tr>
        <w:trPr/>
        <w:tc>
          <w:tcPr>
            <w:tcW w:w="25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For the year ended</w:t>
            </w:r>
            <w:r>
              <w:rPr/>
              <w:t xml:space="preserve"> </w:t>
              <w:br/>
            </w:r>
            <w:r>
              <w:rPr>
                <w:spacing w:val="-3"/>
              </w:rPr>
              <w:t xml:space="preserve">November 30,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Period from December 14, </w:t>
            </w:r>
            <w:r>
              <w:rPr/>
              <w:br/>
            </w:r>
            <w:r>
              <w:rPr>
                <w:spacing w:val="-3"/>
              </w:rPr>
              <w:t>2023 (inception)</w:t>
            </w:r>
            <w:r>
              <w:rPr/>
              <w:t xml:space="preserve"> </w:t>
              <w:br/>
            </w:r>
            <w:r>
              <w:rPr>
                <w:spacing w:val="-3"/>
              </w:rPr>
              <w:t>through November 30,</w:t>
            </w:r>
            <w:r>
              <w:rPr/>
              <w:t xml:space="preserve"> </w:t>
              <w:br/>
            </w: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548" w:type="dxa"/>
            <w:tcBorders/>
            <w:shd w:fill="CCEEFF" w:val="clear"/>
            <w:tcMar>
              <w:bottom w:w="0" w:type="dxa"/>
            </w:tcMar>
            <w:vAlign w:val="center"/>
          </w:tcPr>
          <w:p>
            <w:pPr>
              <w:pStyle w:val="TableContents"/>
              <w:bidi w:val="0"/>
              <w:spacing w:before="0" w:after="0"/>
              <w:jc w:val="left"/>
              <w:rPr>
                <w:spacing w:val="4"/>
              </w:rPr>
            </w:pPr>
            <w:r>
              <w:rPr>
                <w:spacing w:val="4"/>
              </w:rPr>
              <w:t xml:space="preserve">US federal statutory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5" w:type="dxa"/>
            <w:tcBorders/>
            <w:shd w:fill="CCEEFF" w:val="clear"/>
            <w:tcMar>
              <w:bottom w:w="0" w:type="dxa"/>
            </w:tcMar>
            <w:vAlign w:val="center"/>
          </w:tcPr>
          <w:p>
            <w:pPr>
              <w:pStyle w:val="TableContents"/>
              <w:bidi w:val="0"/>
              <w:spacing w:before="0" w:after="283"/>
              <w:jc w:val="left"/>
              <w:rPr/>
            </w:pPr>
            <w:r>
              <w:rPr/>
              <w:t>​</w:t>
            </w:r>
          </w:p>
        </w:tc>
        <w:tc>
          <w:tcPr>
            <w:tcW w:w="295" w:type="dxa"/>
            <w:tcBorders/>
            <w:shd w:fill="CCEEFF" w:val="clear"/>
            <w:tcMar>
              <w:bottom w:w="0" w:type="dxa"/>
            </w:tcMar>
            <w:vAlign w:val="center"/>
          </w:tcPr>
          <w:p>
            <w:pPr>
              <w:pStyle w:val="TableContents"/>
              <w:bidi w:val="0"/>
              <w:spacing w:before="0" w:after="283"/>
              <w:jc w:val="right"/>
              <w:rPr/>
            </w:pPr>
            <w:r>
              <w:rPr/>
              <w:t>​</w:t>
            </w:r>
          </w:p>
        </w:tc>
        <w:tc>
          <w:tcPr>
            <w:tcW w:w="1144" w:type="dxa"/>
            <w:tcBorders/>
            <w:shd w:fill="CCEEFF" w:val="clear"/>
            <w:tcMar>
              <w:bottom w:w="0" w:type="dxa"/>
            </w:tcMar>
            <w:vAlign w:val="center"/>
          </w:tcPr>
          <w:p>
            <w:pPr>
              <w:pStyle w:val="TableContents"/>
              <w:bidi w:val="0"/>
              <w:spacing w:before="0" w:after="283"/>
              <w:jc w:val="right"/>
              <w:rPr/>
            </w:pPr>
            <w:r>
              <w:rPr/>
              <w:t>21%</w:t>
            </w:r>
          </w:p>
        </w:tc>
        <w:tc>
          <w:tcPr>
            <w:tcW w:w="2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82" w:type="dxa"/>
            <w:tcBorders/>
            <w:shd w:fill="CCEEFF" w:val="clear"/>
            <w:tcMar>
              <w:bottom w:w="0" w:type="dxa"/>
            </w:tcMar>
            <w:vAlign w:val="center"/>
          </w:tcPr>
          <w:p>
            <w:pPr>
              <w:pStyle w:val="TableContents"/>
              <w:bidi w:val="0"/>
              <w:spacing w:before="0" w:after="283"/>
              <w:jc w:val="left"/>
              <w:rPr/>
            </w:pPr>
            <w:r>
              <w:rPr/>
              <w:t>​</w:t>
            </w:r>
          </w:p>
        </w:tc>
        <w:tc>
          <w:tcPr>
            <w:tcW w:w="382" w:type="dxa"/>
            <w:tcBorders/>
            <w:shd w:fill="CCEEFF" w:val="clear"/>
            <w:tcMar>
              <w:bottom w:w="0" w:type="dxa"/>
            </w:tcMar>
            <w:vAlign w:val="center"/>
          </w:tcPr>
          <w:p>
            <w:pPr>
              <w:pStyle w:val="TableContents"/>
              <w:bidi w:val="0"/>
              <w:spacing w:before="0" w:after="283"/>
              <w:jc w:val="right"/>
              <w:rPr/>
            </w:pPr>
            <w:r>
              <w:rPr/>
              <w:t>​</w:t>
            </w:r>
          </w:p>
        </w:tc>
        <w:tc>
          <w:tcPr>
            <w:tcW w:w="1483" w:type="dxa"/>
            <w:tcBorders/>
            <w:shd w:fill="CCEEFF" w:val="clear"/>
            <w:tcMar>
              <w:bottom w:w="0" w:type="dxa"/>
            </w:tcMar>
            <w:vAlign w:val="center"/>
          </w:tcPr>
          <w:p>
            <w:pPr>
              <w:pStyle w:val="TableContents"/>
              <w:bidi w:val="0"/>
              <w:spacing w:before="0" w:after="283"/>
              <w:jc w:val="right"/>
              <w:rPr/>
            </w:pPr>
            <w:r>
              <w:rPr/>
              <w:t>21%</w:t>
            </w:r>
          </w:p>
        </w:tc>
        <w:tc>
          <w:tcPr>
            <w:tcW w:w="38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48" w:type="dxa"/>
            <w:tcBorders/>
            <w:tcMar>
              <w:bottom w:w="0" w:type="dxa"/>
            </w:tcMar>
            <w:vAlign w:val="center"/>
          </w:tcPr>
          <w:p>
            <w:pPr>
              <w:pStyle w:val="TableContents"/>
              <w:bidi w:val="0"/>
              <w:spacing w:before="0" w:after="283"/>
              <w:jc w:val="left"/>
              <w:rPr>
                <w:spacing w:val="4"/>
              </w:rPr>
            </w:pPr>
            <w:r>
              <w:rPr>
                <w:spacing w:val="4"/>
              </w:rPr>
              <w:t xml:space="preserve">Effects of: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5" w:type="dxa"/>
            <w:tcBorders/>
            <w:tcMar>
              <w:bottom w:w="0" w:type="dxa"/>
            </w:tcMar>
            <w:vAlign w:val="center"/>
          </w:tcPr>
          <w:p>
            <w:pPr>
              <w:pStyle w:val="TableContents"/>
              <w:bidi w:val="0"/>
              <w:spacing w:before="0" w:after="283"/>
              <w:jc w:val="left"/>
              <w:rPr/>
            </w:pPr>
            <w:r>
              <w:rPr/>
              <w:t>​</w:t>
            </w:r>
          </w:p>
        </w:tc>
        <w:tc>
          <w:tcPr>
            <w:tcW w:w="295" w:type="dxa"/>
            <w:tcBorders/>
            <w:tcMar>
              <w:bottom w:w="0" w:type="dxa"/>
            </w:tcMar>
            <w:vAlign w:val="center"/>
          </w:tcPr>
          <w:p>
            <w:pPr>
              <w:pStyle w:val="TableContents"/>
              <w:bidi w:val="0"/>
              <w:spacing w:before="0" w:after="283"/>
              <w:jc w:val="right"/>
              <w:rPr/>
            </w:pPr>
            <w:r>
              <w:rPr/>
              <w:t>​</w:t>
            </w:r>
          </w:p>
        </w:tc>
        <w:tc>
          <w:tcPr>
            <w:tcW w:w="1144" w:type="dxa"/>
            <w:tcBorders/>
            <w:tcMar>
              <w:bottom w:w="0" w:type="dxa"/>
            </w:tcMar>
            <w:vAlign w:val="center"/>
          </w:tcPr>
          <w:p>
            <w:pPr>
              <w:pStyle w:val="TableContents"/>
              <w:bidi w:val="0"/>
              <w:spacing w:before="0" w:after="283"/>
              <w:jc w:val="right"/>
              <w:rPr/>
            </w:pPr>
            <w:r>
              <w:rPr/>
              <w:t>​</w:t>
            </w:r>
          </w:p>
        </w:tc>
        <w:tc>
          <w:tcPr>
            <w:tcW w:w="2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83" w:type="dxa"/>
            <w:tcBorders/>
            <w:tcMar>
              <w:bottom w:w="0" w:type="dxa"/>
            </w:tcMar>
            <w:vAlign w:val="center"/>
          </w:tcPr>
          <w:p>
            <w:pPr>
              <w:pStyle w:val="TableContents"/>
              <w:bidi w:val="0"/>
              <w:spacing w:before="0" w:after="283"/>
              <w:jc w:val="right"/>
              <w:rPr/>
            </w:pPr>
            <w:r>
              <w:rPr/>
              <w:t>​</w:t>
            </w:r>
          </w:p>
        </w:tc>
        <w:tc>
          <w:tcPr>
            <w:tcW w:w="38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4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Valuation allowance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95" w:type="dxa"/>
            <w:tcBorders>
              <w:bottom w:val="single" w:sz="2" w:space="0" w:color="CCEEFF"/>
            </w:tcBorders>
            <w:shd w:fill="CCEEFF" w:val="clear"/>
            <w:vAlign w:val="center"/>
          </w:tcPr>
          <w:p>
            <w:pPr>
              <w:pStyle w:val="TableContents"/>
              <w:bidi w:val="0"/>
              <w:spacing w:before="0" w:after="283"/>
              <w:jc w:val="left"/>
              <w:rPr/>
            </w:pPr>
            <w:r>
              <w:rPr/>
              <w:t>​</w:t>
            </w:r>
          </w:p>
        </w:tc>
        <w:tc>
          <w:tcPr>
            <w:tcW w:w="29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44" w:type="dxa"/>
            <w:tcBorders>
              <w:bottom w:val="single" w:sz="2" w:space="0" w:color="000000"/>
            </w:tcBorders>
            <w:shd w:fill="CCEEFF" w:val="clear"/>
            <w:tcMar>
              <w:bottom w:w="50" w:type="dxa"/>
            </w:tcMar>
            <w:vAlign w:val="center"/>
          </w:tcPr>
          <w:p>
            <w:pPr>
              <w:pStyle w:val="TableContents"/>
              <w:bidi w:val="0"/>
              <w:spacing w:before="0" w:after="283"/>
              <w:jc w:val="right"/>
              <w:rPr/>
            </w:pPr>
            <w:r>
              <w:rPr/>
              <w:t>(21)%</w:t>
            </w:r>
          </w:p>
        </w:tc>
        <w:tc>
          <w:tcPr>
            <w:tcW w:w="29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382" w:type="dxa"/>
            <w:tcBorders>
              <w:bottom w:val="single" w:sz="2" w:space="0" w:color="CCEEFF"/>
            </w:tcBorders>
            <w:shd w:fill="CCEEFF" w:val="clear"/>
            <w:vAlign w:val="center"/>
          </w:tcPr>
          <w:p>
            <w:pPr>
              <w:pStyle w:val="TableContents"/>
              <w:bidi w:val="0"/>
              <w:spacing w:before="0" w:after="283"/>
              <w:jc w:val="left"/>
              <w:rPr/>
            </w:pPr>
            <w:r>
              <w:rPr/>
              <w:t>​</w:t>
            </w:r>
          </w:p>
        </w:tc>
        <w:tc>
          <w:tcPr>
            <w:tcW w:w="38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83" w:type="dxa"/>
            <w:tcBorders>
              <w:bottom w:val="single" w:sz="2" w:space="0" w:color="000000"/>
            </w:tcBorders>
            <w:shd w:fill="CCEEFF" w:val="clear"/>
            <w:tcMar>
              <w:bottom w:w="50" w:type="dxa"/>
            </w:tcMar>
            <w:vAlign w:val="center"/>
          </w:tcPr>
          <w:p>
            <w:pPr>
              <w:pStyle w:val="TableContents"/>
              <w:bidi w:val="0"/>
              <w:spacing w:before="0" w:after="283"/>
              <w:jc w:val="right"/>
              <w:rPr/>
            </w:pPr>
            <w:r>
              <w:rPr/>
              <w:t>(21)%</w:t>
            </w:r>
          </w:p>
        </w:tc>
        <w:tc>
          <w:tcPr>
            <w:tcW w:w="388"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5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5" w:type="dxa"/>
            <w:tcBorders/>
            <w:tcMar>
              <w:bottom w:w="0" w:type="dxa"/>
            </w:tcMar>
            <w:vAlign w:val="center"/>
          </w:tcPr>
          <w:p>
            <w:pPr>
              <w:pStyle w:val="TableContents"/>
              <w:bidi w:val="0"/>
              <w:spacing w:before="0" w:after="283"/>
              <w:jc w:val="left"/>
              <w:rPr/>
            </w:pPr>
            <w:r>
              <w:rPr/>
              <w:t>​</w:t>
            </w:r>
          </w:p>
        </w:tc>
        <w:tc>
          <w:tcPr>
            <w:tcW w:w="295" w:type="dxa"/>
            <w:tcBorders>
              <w:bottom w:val="double" w:sz="8" w:space="0" w:color="000000"/>
            </w:tcBorders>
            <w:tcMar>
              <w:bottom w:w="50" w:type="dxa"/>
            </w:tcMar>
            <w:vAlign w:val="center"/>
          </w:tcPr>
          <w:p>
            <w:pPr>
              <w:pStyle w:val="TableContents"/>
              <w:bidi w:val="0"/>
              <w:spacing w:before="0" w:after="283"/>
              <w:jc w:val="right"/>
              <w:rPr/>
            </w:pPr>
            <w:r>
              <w:rPr/>
              <w:t>​</w:t>
            </w:r>
          </w:p>
        </w:tc>
        <w:tc>
          <w:tcPr>
            <w:tcW w:w="1144" w:type="dxa"/>
            <w:tcBorders>
              <w:bottom w:val="double" w:sz="8" w:space="0" w:color="000000"/>
            </w:tcBorders>
            <w:tcMar>
              <w:bottom w:w="50" w:type="dxa"/>
            </w:tcMar>
            <w:vAlign w:val="center"/>
          </w:tcPr>
          <w:p>
            <w:pPr>
              <w:pStyle w:val="TableContents"/>
              <w:bidi w:val="0"/>
              <w:spacing w:before="0" w:after="283"/>
              <w:jc w:val="right"/>
              <w:rPr/>
            </w:pPr>
            <w:r>
              <w:rPr/>
              <w:t>—</w:t>
            </w:r>
          </w:p>
        </w:tc>
        <w:tc>
          <w:tcPr>
            <w:tcW w:w="2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left"/>
              <w:rPr/>
            </w:pPr>
            <w:r>
              <w:rPr/>
              <w:t>​</w:t>
            </w:r>
          </w:p>
        </w:tc>
        <w:tc>
          <w:tcPr>
            <w:tcW w:w="382" w:type="dxa"/>
            <w:tcBorders>
              <w:bottom w:val="double" w:sz="8" w:space="0" w:color="000000"/>
            </w:tcBorders>
            <w:tcMar>
              <w:bottom w:w="50" w:type="dxa"/>
            </w:tcMar>
            <w:vAlign w:val="center"/>
          </w:tcPr>
          <w:p>
            <w:pPr>
              <w:pStyle w:val="TableContents"/>
              <w:bidi w:val="0"/>
              <w:spacing w:before="0" w:after="283"/>
              <w:jc w:val="right"/>
              <w:rPr/>
            </w:pPr>
            <w:r>
              <w:rPr/>
              <w:t>​</w:t>
            </w:r>
          </w:p>
        </w:tc>
        <w:tc>
          <w:tcPr>
            <w:tcW w:w="1483" w:type="dxa"/>
            <w:tcBorders>
              <w:bottom w:val="double" w:sz="8" w:space="0" w:color="000000"/>
            </w:tcBorders>
            <w:tcMar>
              <w:bottom w:w="50" w:type="dxa"/>
            </w:tcMar>
            <w:vAlign w:val="center"/>
          </w:tcPr>
          <w:p>
            <w:pPr>
              <w:pStyle w:val="TableContents"/>
              <w:bidi w:val="0"/>
              <w:spacing w:before="0" w:after="283"/>
              <w:jc w:val="right"/>
              <w:rPr/>
            </w:pPr>
            <w:r>
              <w:rPr/>
              <w:t>—</w:t>
            </w:r>
          </w:p>
        </w:tc>
        <w:tc>
          <w:tcPr>
            <w:tcW w:w="38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INCOME TAXES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Deferred Income Tax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components of the deferred tax assets and liabilities consisted of the following: </w:t>
      </w:r>
    </w:p>
    <w:tbl>
      <w:tblPr>
        <w:tblW w:w="8026" w:type="dxa"/>
        <w:jc w:val="left"/>
        <w:tblInd w:w="1393" w:type="dxa"/>
        <w:tblLayout w:type="fixed"/>
        <w:tblCellMar>
          <w:top w:w="0" w:type="dxa"/>
          <w:left w:w="0" w:type="dxa"/>
          <w:bottom w:w="28" w:type="dxa"/>
          <w:right w:w="0" w:type="dxa"/>
        </w:tblCellMar>
      </w:tblPr>
      <w:tblGrid>
        <w:gridCol w:w="3371"/>
        <w:gridCol w:w="109"/>
        <w:gridCol w:w="109"/>
        <w:gridCol w:w="133"/>
        <w:gridCol w:w="277"/>
        <w:gridCol w:w="1490"/>
        <w:gridCol w:w="133"/>
        <w:gridCol w:w="109"/>
        <w:gridCol w:w="109"/>
        <w:gridCol w:w="149"/>
        <w:gridCol w:w="310"/>
        <w:gridCol w:w="1424"/>
        <w:gridCol w:w="149"/>
        <w:gridCol w:w="154"/>
      </w:tblGrid>
      <w:tr>
        <w:trPr/>
        <w:tc>
          <w:tcPr>
            <w:tcW w:w="33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November 30,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3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November 30, 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71" w:type="dxa"/>
            <w:tcBorders/>
            <w:shd w:fill="CCEEFF" w:val="clear"/>
            <w:tcMar>
              <w:bottom w:w="0" w:type="dxa"/>
            </w:tcMar>
            <w:vAlign w:val="center"/>
          </w:tcPr>
          <w:p>
            <w:pPr>
              <w:pStyle w:val="TableContents"/>
              <w:bidi w:val="0"/>
              <w:spacing w:before="0" w:after="283"/>
              <w:jc w:val="left"/>
              <w:rPr>
                <w:spacing w:val="4"/>
              </w:rPr>
            </w:pPr>
            <w:r>
              <w:rPr>
                <w:spacing w:val="4"/>
              </w:rPr>
              <w:t xml:space="preserve">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490"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283"/>
              <w:jc w:val="right"/>
              <w:rPr/>
            </w:pPr>
            <w:r>
              <w:rPr/>
              <w:t>​</w:t>
            </w:r>
          </w:p>
        </w:tc>
        <w:tc>
          <w:tcPr>
            <w:tcW w:w="1424" w:type="dxa"/>
            <w:tcBorders/>
            <w:shd w:fill="CCEEFF" w:val="clear"/>
            <w:tcMar>
              <w:bottom w:w="0" w:type="dxa"/>
            </w:tcMar>
            <w:vAlign w:val="center"/>
          </w:tcPr>
          <w:p>
            <w:pPr>
              <w:pStyle w:val="TableContents"/>
              <w:bidi w:val="0"/>
              <w:spacing w:before="0" w:after="283"/>
              <w:jc w:val="righ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1" w:type="dxa"/>
            <w:tcBorders/>
            <w:tcMar>
              <w:bottom w:w="0" w:type="dxa"/>
            </w:tcMar>
            <w:vAlign w:val="center"/>
          </w:tcPr>
          <w:p>
            <w:pPr>
              <w:pStyle w:val="TableContents"/>
              <w:bidi w:val="0"/>
              <w:spacing w:before="0" w:after="0"/>
              <w:ind w:left="200" w:right="0" w:hanging="0"/>
              <w:jc w:val="left"/>
              <w:rPr>
                <w:spacing w:val="4"/>
              </w:rPr>
            </w:pPr>
            <w:r>
              <w:rPr>
                <w:spacing w:val="4"/>
              </w:rPr>
              <w:t xml:space="preserve">Net operating loss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1490" w:type="dxa"/>
            <w:tcBorders/>
            <w:tcMar>
              <w:bottom w:w="0" w:type="dxa"/>
            </w:tcMar>
            <w:vAlign w:val="center"/>
          </w:tcPr>
          <w:p>
            <w:pPr>
              <w:pStyle w:val="TableContents"/>
              <w:bidi w:val="0"/>
              <w:spacing w:before="0" w:after="283"/>
              <w:jc w:val="right"/>
              <w:rPr/>
            </w:pPr>
            <w:r>
              <w:rPr/>
              <w:t>1,295,598</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196,636</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7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Mineral resources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490"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283"/>
              <w:jc w:val="right"/>
              <w:rPr/>
            </w:pPr>
            <w:r>
              <w:rPr/>
              <w:t>​</w:t>
            </w:r>
          </w:p>
        </w:tc>
        <w:tc>
          <w:tcPr>
            <w:tcW w:w="1424" w:type="dxa"/>
            <w:tcBorders/>
            <w:shd w:fill="CCEEFF" w:val="clear"/>
            <w:tcMar>
              <w:bottom w:w="0" w:type="dxa"/>
            </w:tcMar>
            <w:vAlign w:val="center"/>
          </w:tcPr>
          <w:p>
            <w:pPr>
              <w:pStyle w:val="TableContents"/>
              <w:bidi w:val="0"/>
              <w:spacing w:before="0" w:after="283"/>
              <w:jc w:val="right"/>
              <w:rPr/>
            </w:pPr>
            <w:r>
              <w:rPr/>
              <w:t>14,700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1"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Share issuance costs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 w:type="dxa"/>
            <w:tcBorders>
              <w:bottom w:val="single" w:sz="2" w:space="0" w:color="FFFFFF"/>
            </w:tcBorders>
            <w:vAlign w:val="center"/>
          </w:tcPr>
          <w:p>
            <w:pPr>
              <w:pStyle w:val="TableContents"/>
              <w:bidi w:val="0"/>
              <w:spacing w:before="0" w:after="283"/>
              <w:jc w:val="left"/>
              <w:rPr/>
            </w:pPr>
            <w:r>
              <w:rPr/>
              <w:t>​</w:t>
            </w:r>
          </w:p>
        </w:tc>
        <w:tc>
          <w:tcPr>
            <w:tcW w:w="277" w:type="dxa"/>
            <w:tcBorders>
              <w:bottom w:val="single" w:sz="2" w:space="0" w:color="000000"/>
            </w:tcBorders>
            <w:tcMar>
              <w:bottom w:w="50" w:type="dxa"/>
            </w:tcMar>
            <w:vAlign w:val="center"/>
          </w:tcPr>
          <w:p>
            <w:pPr>
              <w:pStyle w:val="TableContents"/>
              <w:bidi w:val="0"/>
              <w:spacing w:before="0" w:after="283"/>
              <w:jc w:val="right"/>
              <w:rPr/>
            </w:pPr>
            <w:r>
              <w:rPr/>
              <w:t>​</w:t>
            </w:r>
          </w:p>
        </w:tc>
        <w:tc>
          <w:tcPr>
            <w:tcW w:w="1490" w:type="dxa"/>
            <w:tcBorders>
              <w:bottom w:val="single" w:sz="2" w:space="0" w:color="000000"/>
            </w:tcBorders>
            <w:tcMar>
              <w:bottom w:w="50" w:type="dxa"/>
            </w:tcMar>
            <w:vAlign w:val="center"/>
          </w:tcPr>
          <w:p>
            <w:pPr>
              <w:pStyle w:val="TableContents"/>
              <w:bidi w:val="0"/>
              <w:spacing w:before="0" w:after="283"/>
              <w:jc w:val="right"/>
              <w:rPr/>
            </w:pPr>
            <w:r>
              <w:rPr/>
              <w:t>2,892</w:t>
            </w:r>
          </w:p>
        </w:tc>
        <w:tc>
          <w:tcPr>
            <w:tcW w:w="13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 w:type="dxa"/>
            <w:tcBorders>
              <w:bottom w:val="single" w:sz="2" w:space="0" w:color="FFFFFF"/>
            </w:tcBorders>
            <w:vAlign w:val="center"/>
          </w:tcPr>
          <w:p>
            <w:pPr>
              <w:pStyle w:val="TableContents"/>
              <w:bidi w:val="0"/>
              <w:spacing w:before="0" w:after="283"/>
              <w:jc w:val="left"/>
              <w:rPr/>
            </w:pPr>
            <w:r>
              <w:rPr/>
              <w:t>​</w:t>
            </w:r>
          </w:p>
        </w:tc>
        <w:tc>
          <w:tcPr>
            <w:tcW w:w="310" w:type="dxa"/>
            <w:tcBorders>
              <w:bottom w:val="single" w:sz="2" w:space="0" w:color="000000"/>
            </w:tcBorders>
            <w:tcMar>
              <w:bottom w:w="50" w:type="dxa"/>
            </w:tcMar>
            <w:vAlign w:val="center"/>
          </w:tcPr>
          <w:p>
            <w:pPr>
              <w:pStyle w:val="TableContents"/>
              <w:bidi w:val="0"/>
              <w:spacing w:before="0" w:after="283"/>
              <w:jc w:val="right"/>
              <w:rPr/>
            </w:pPr>
            <w:r>
              <w:rPr/>
              <w:t>​</w:t>
            </w:r>
          </w:p>
        </w:tc>
        <w:tc>
          <w:tcPr>
            <w:tcW w:w="1424" w:type="dxa"/>
            <w:tcBorders>
              <w:bottom w:val="single" w:sz="2" w:space="0" w:color="000000"/>
            </w:tcBorders>
            <w:tcMar>
              <w:bottom w:w="50" w:type="dxa"/>
            </w:tcMar>
            <w:vAlign w:val="center"/>
          </w:tcPr>
          <w:p>
            <w:pPr>
              <w:pStyle w:val="TableContents"/>
              <w:bidi w:val="0"/>
              <w:spacing w:before="0" w:after="283"/>
              <w:jc w:val="right"/>
              <w:rPr/>
            </w:pPr>
            <w:r>
              <w:rPr/>
              <w:t>1,417</w:t>
            </w:r>
          </w:p>
        </w:tc>
        <w:tc>
          <w:tcPr>
            <w:tcW w:w="14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7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gross deferred tax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3" w:type="dxa"/>
            <w:tcBorders>
              <w:bottom w:val="single" w:sz="2" w:space="0" w:color="CCEEFF"/>
            </w:tcBorders>
            <w:shd w:fill="CCEEFF" w:val="clear"/>
            <w:vAlign w:val="center"/>
          </w:tcPr>
          <w:p>
            <w:pPr>
              <w:pStyle w:val="TableContents"/>
              <w:bidi w:val="0"/>
              <w:spacing w:before="0" w:after="283"/>
              <w:jc w:val="left"/>
              <w:rPr/>
            </w:pPr>
            <w:r>
              <w:rPr/>
              <w:t>​</w:t>
            </w:r>
          </w:p>
        </w:tc>
        <w:tc>
          <w:tcPr>
            <w:tcW w:w="27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90" w:type="dxa"/>
            <w:tcBorders>
              <w:bottom w:val="single" w:sz="2" w:space="0" w:color="000000"/>
            </w:tcBorders>
            <w:shd w:fill="CCEEFF" w:val="clear"/>
            <w:tcMar>
              <w:bottom w:w="50" w:type="dxa"/>
            </w:tcMar>
            <w:vAlign w:val="center"/>
          </w:tcPr>
          <w:p>
            <w:pPr>
              <w:pStyle w:val="TableContents"/>
              <w:bidi w:val="0"/>
              <w:spacing w:before="0" w:after="283"/>
              <w:jc w:val="right"/>
              <w:rPr/>
            </w:pPr>
            <w:r>
              <w:rPr/>
              <w:t>1,298,490</w:t>
            </w:r>
          </w:p>
        </w:tc>
        <w:tc>
          <w:tcPr>
            <w:tcW w:w="13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9" w:type="dxa"/>
            <w:tcBorders>
              <w:bottom w:val="single" w:sz="2" w:space="0" w:color="CCEEFF"/>
            </w:tcBorders>
            <w:shd w:fill="CCEEFF" w:val="clear"/>
            <w:vAlign w:val="center"/>
          </w:tcPr>
          <w:p>
            <w:pPr>
              <w:pStyle w:val="TableContents"/>
              <w:bidi w:val="0"/>
              <w:spacing w:before="0" w:after="283"/>
              <w:jc w:val="left"/>
              <w:rPr/>
            </w:pPr>
            <w:r>
              <w:rPr/>
              <w:t>​</w:t>
            </w:r>
          </w:p>
        </w:tc>
        <w:tc>
          <w:tcPr>
            <w:tcW w:w="31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24" w:type="dxa"/>
            <w:tcBorders>
              <w:bottom w:val="single" w:sz="2" w:space="0" w:color="000000"/>
            </w:tcBorders>
            <w:shd w:fill="CCEEFF" w:val="clear"/>
            <w:tcMar>
              <w:bottom w:w="50" w:type="dxa"/>
            </w:tcMar>
            <w:vAlign w:val="center"/>
          </w:tcPr>
          <w:p>
            <w:pPr>
              <w:pStyle w:val="TableContents"/>
              <w:bidi w:val="0"/>
              <w:spacing w:before="0" w:after="283"/>
              <w:jc w:val="right"/>
              <w:rPr/>
            </w:pPr>
            <w:r>
              <w:rPr/>
              <w:t>212,753</w:t>
            </w:r>
          </w:p>
        </w:tc>
        <w:tc>
          <w:tcPr>
            <w:tcW w:w="14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37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Valuation allowance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 w:type="dxa"/>
            <w:tcBorders>
              <w:bottom w:val="single" w:sz="2" w:space="0" w:color="FFFFFF"/>
            </w:tcBorders>
            <w:vAlign w:val="center"/>
          </w:tcPr>
          <w:p>
            <w:pPr>
              <w:pStyle w:val="TableContents"/>
              <w:bidi w:val="0"/>
              <w:spacing w:before="0" w:after="283"/>
              <w:jc w:val="left"/>
              <w:rPr/>
            </w:pPr>
            <w:r>
              <w:rPr/>
              <w:t>​</w:t>
            </w:r>
          </w:p>
        </w:tc>
        <w:tc>
          <w:tcPr>
            <w:tcW w:w="277" w:type="dxa"/>
            <w:tcBorders>
              <w:bottom w:val="single" w:sz="2" w:space="0" w:color="000000"/>
            </w:tcBorders>
            <w:tcMar>
              <w:bottom w:w="50" w:type="dxa"/>
            </w:tcMar>
            <w:vAlign w:val="center"/>
          </w:tcPr>
          <w:p>
            <w:pPr>
              <w:pStyle w:val="TableContents"/>
              <w:bidi w:val="0"/>
              <w:spacing w:before="0" w:after="283"/>
              <w:jc w:val="right"/>
              <w:rPr/>
            </w:pPr>
            <w:r>
              <w:rPr/>
              <w:t>​</w:t>
            </w:r>
          </w:p>
        </w:tc>
        <w:tc>
          <w:tcPr>
            <w:tcW w:w="1490" w:type="dxa"/>
            <w:tcBorders>
              <w:bottom w:val="single" w:sz="2" w:space="0" w:color="000000"/>
            </w:tcBorders>
            <w:tcMar>
              <w:bottom w:w="50" w:type="dxa"/>
            </w:tcMar>
            <w:vAlign w:val="center"/>
          </w:tcPr>
          <w:p>
            <w:pPr>
              <w:pStyle w:val="TableContents"/>
              <w:bidi w:val="0"/>
              <w:spacing w:before="0" w:after="283"/>
              <w:jc w:val="right"/>
              <w:rPr/>
            </w:pPr>
            <w:r>
              <w:rPr/>
              <w:t>(1,298,490)</w:t>
            </w:r>
          </w:p>
        </w:tc>
        <w:tc>
          <w:tcPr>
            <w:tcW w:w="13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 w:type="dxa"/>
            <w:tcBorders>
              <w:bottom w:val="single" w:sz="2" w:space="0" w:color="FFFFFF"/>
            </w:tcBorders>
            <w:vAlign w:val="center"/>
          </w:tcPr>
          <w:p>
            <w:pPr>
              <w:pStyle w:val="TableContents"/>
              <w:bidi w:val="0"/>
              <w:spacing w:before="0" w:after="283"/>
              <w:jc w:val="left"/>
              <w:rPr/>
            </w:pPr>
            <w:r>
              <w:rPr/>
              <w:t>​</w:t>
            </w:r>
          </w:p>
        </w:tc>
        <w:tc>
          <w:tcPr>
            <w:tcW w:w="310" w:type="dxa"/>
            <w:tcBorders>
              <w:bottom w:val="single" w:sz="2" w:space="0" w:color="000000"/>
            </w:tcBorders>
            <w:tcMar>
              <w:bottom w:w="50" w:type="dxa"/>
            </w:tcMar>
            <w:vAlign w:val="center"/>
          </w:tcPr>
          <w:p>
            <w:pPr>
              <w:pStyle w:val="TableContents"/>
              <w:bidi w:val="0"/>
              <w:spacing w:before="0" w:after="283"/>
              <w:jc w:val="right"/>
              <w:rPr/>
            </w:pPr>
            <w:r>
              <w:rPr/>
              <w:t>​</w:t>
            </w:r>
          </w:p>
        </w:tc>
        <w:tc>
          <w:tcPr>
            <w:tcW w:w="1424" w:type="dxa"/>
            <w:tcBorders>
              <w:bottom w:val="single" w:sz="2" w:space="0" w:color="000000"/>
            </w:tcBorders>
            <w:tcMar>
              <w:bottom w:w="50" w:type="dxa"/>
            </w:tcMar>
            <w:vAlign w:val="center"/>
          </w:tcPr>
          <w:p>
            <w:pPr>
              <w:pStyle w:val="TableContents"/>
              <w:bidi w:val="0"/>
              <w:spacing w:before="0" w:after="283"/>
              <w:jc w:val="right"/>
              <w:rPr/>
            </w:pPr>
            <w:r>
              <w:rPr/>
              <w:t>(212,753)</w:t>
            </w:r>
          </w:p>
        </w:tc>
        <w:tc>
          <w:tcPr>
            <w:tcW w:w="14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71" w:type="dxa"/>
            <w:tcBorders/>
            <w:shd w:fill="CCEEFF" w:val="clear"/>
            <w:tcMar>
              <w:bottom w:w="0" w:type="dxa"/>
            </w:tcMar>
            <w:vAlign w:val="center"/>
          </w:tcPr>
          <w:p>
            <w:pPr>
              <w:pStyle w:val="TableContents"/>
              <w:bidi w:val="0"/>
              <w:spacing w:before="0" w:after="0"/>
              <w:jc w:val="left"/>
              <w:rPr>
                <w:b/>
              </w:rPr>
            </w:pPr>
            <w:r>
              <w:rPr>
                <w:b/>
                <w:spacing w:val="-4"/>
              </w:rPr>
              <w:t>Net deferred tax asset</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490"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10"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424"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30, 2025, the Company had approximately $6,169,512 (November 30, 2024 — $936,360) of federal net operating loss carry forwards that carry forward indefinitely. Future utilization of the net operating loss carry forwards is subject to certain limitations under Section 382 of the Internal Revenue Code.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assessing the realizability of deferred tax assets, management considers all positive and negative evidence to determine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Due to the uncertainty of the Company’s ability to realize the benefit of the deferred tax assets, primarily related to the history of cumulative operating losses, the net deferred tax assets are fully offset by a valuation allowance at November 30,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subject to U.S. federal income tax examinations by tax authorities for all tax years since inception due to unexpired net operating loss carryforwards originating in and after that year. The Company may be subject to income tax examinations for the various state taxing authorities which vary by jurisdiction.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has evaluated its income tax positions and has determined that it does not have any uncertain tax positions. The Company will recognize interest and penalties related to any uncertain tax positions through its income tax expense.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COMMITMENTS AND CONTINGENCIES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 2024, the Company entered into a consulting agreement with the CEO of the Company. Pursuant to the agreement, the CEO is eligible to receive a one-time cash payment of $25,000 upon completion of an initial public offering, and an initial grant of 1,000,000 stock options upon establishment of an incentive stock option plan.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 2024 the Company began leasing office space on a month-to-month basis from an unrelated third party under an operating lease agreement. The monthly payments approximate $7,500 (CAD$10,500) and ancillary expenses. During the year ended November 30, 2025, rent expense under this agreement totaled $86,892 (November 30, 2024 — $27,589).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3, 2025, the Company entered into an operating lease agreement from an unrelated third party for the office space in Vancouver for 2 years (Note 9). The monthly payments approximate $69,450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EAGLE ENERGY METALS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NOTES TO THE FINANCIAL STATEMENTS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YEAR ENDED NOVEMBER 30, 2025 AND THE PERIOD FROM DECEMBER 14, 2023 (INCEPTION) THROUGH NOVEMBER 30,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COMMITMENTS AND CONTINGENCIES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ancillary expenses. During the year ended November 30, 2025, rent expense under this agreement totaled $3,662 (November 30, 2024 — $Nil).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29, 2025, the Company also entered into an amended and restated securities purchase agreement (“PIPE Agreement”) with PubCo and a private investor, regarding a potential issuance by PubCo, of 29,700 shares of Series A Cumulative Convertible Preferred Stock for $29,700,000 (“PIPE Issuance”), upon the completion of the “de-SPAC” transaction as contemplated by the Amended BCA. The PIPE Issuance would accrue dividends at 12% annually (if paid in kind), or 10% annually (if paid in cash). At the option of holder, the PIPE Issuance is convertible to common stock of PubCo at a conversion price of $11.88, representing a conversion ratio of 1-to-84.18. Pursuant to the PIPE Agreement, concurrently to the PIPE Issuance, PubCo is also to issue to the investor 2,500,000 warrants with an exercise price of $12.00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15, 2025, the Company entered into a consulting agreement (the “126 Agreement”) with the CFO of the Company. Pursuant to the 126 Agreement, the Company will use commercially reasonable efforts to cause the resulting issuer to issue 90,000 stock options to the CFO upon completion of listing on the Nasdaq Stock Exchange.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Contingencies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could potentially become involved in various lawsuits, actions and claims, from time to time, arising in the ordinary course of business, although management is not aware of any such lawsuits, actions or claims at the date of this report. In management’s opinion, should any such items occur, the ultimate outcome will not have a material adverse effect on the financial position or results of operations of the Company.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RISK CONCENTRATIONS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instruments, which potentially subject the Company to concentration of risk, consist principally of cash and accounts payable and accrued liabilities. The total uninsured cash balance as of November 30, 2025 was $980,411. The uninsured cash balance located in Canada was $3,246 and the uninsured cash balance located in the United States was $977,165.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had one vendor that accounted for 68% of total accounts payable and accrued liabilities as of November 30, 2024, which were settled as of November 30, 2025. As of November 30, 2025, one vendor accounted for approximately 56% of the Company’s total accounts payable and accrued liabilities, and the top five vendors collectively accounted for approximately 76% of total accounts payable and accrued liabilities.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SUBSEQUENT EVENTS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evaluated all events and transactions occurring subsequent to November 30, 2025, through the date the financial statements were issued for items requiring adjustment to or disclosure in the accompanying financial statements and notes to the financial statements noting no such events or transactions other than those described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17, 2025, the Company, as a co-registrant with PubCo, filed an amended Form S-4 with the SEC in respect of the “de-SPAC” transaction in accordance with the Amended BCA.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January 9, 2026, the Company, as a co-registrant with PubCo, filed an amended Form S-4 with the SEC in respect of the “de-SPAC” transaction in accordance with the Amended BCA.</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fROIR4"/>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left"/>
        <w:rPr>
          <w:caps w:val="false"/>
          <w:smallCaps w:val="false"/>
          <w:color w:val="000000"/>
        </w:rPr>
      </w:pPr>
      <w:r>
        <w:rPr>
          <w:caps w:val="false"/>
          <w:smallCaps w:val="false"/>
          <w:color w:val="000000"/>
        </w:rPr>
        <w:drawing>
          <wp:inline distT="0" distB="0" distL="0" distR="0">
            <wp:extent cx="857250" cy="1228725"/>
            <wp:effectExtent l="0" t="0" r="0" b="0"/>
            <wp:docPr id="37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6" descr=""/>
                    <pic:cNvPicPr>
                      <a:picLocks noChangeAspect="1" noChangeArrowheads="1"/>
                    </pic:cNvPicPr>
                  </pic:nvPicPr>
                  <pic:blipFill>
                    <a:blip r:embed="rId7"/>
                    <a:stretch>
                      <a:fillRect/>
                    </a:stretch>
                  </pic:blipFill>
                  <pic:spPr bwMode="auto">
                    <a:xfrm>
                      <a:off x="0" y="0"/>
                      <a:ext cx="857250" cy="1228725"/>
                    </a:xfrm>
                    <a:prstGeom prst="rect">
                      <a:avLst/>
                    </a:prstGeom>
                  </pic:spPr>
                </pic:pic>
              </a:graphicData>
            </a:graphic>
          </wp:inline>
        </w:drawing>
      </w:r>
      <w:r>
        <w:rPr>
          <w:caps w:val="false"/>
          <w:smallCaps w:val="false"/>
          <w:color w:val="000000"/>
          <w:spacing w:val="4"/>
        </w:rPr>
        <w:t> </w:t>
      </w:r>
      <w:r>
        <w:rPr>
          <w:caps w:val="false"/>
          <w:smallCaps w:val="false"/>
          <w:color w:val="000000"/>
        </w:rPr>
        <w:t xml:space="preserve"> </w:t>
      </w:r>
    </w:p>
    <w:p>
      <w:pPr>
        <w:pStyle w:val="TextBody"/>
        <w:bidi w:val="0"/>
        <w:spacing w:lineRule="atLeast" w:line="240" w:before="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the Directors of Aurora Energy Metals Limited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Sole Member of Oregon Energy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on the Financial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audited the accompanying balance sheets of Oregon Energy LLC (the “Company”) as of June 30, 2025 and 2024, and the related statements of operations, changes in member’s capital, and cash flows for the years then ended, and the related notes to the financial statements (collectively referred to as the “financial statements”). In our opinion, the financial statements referred to above present fairly, in all material respects, the financial position of the Company as of June 30, 2025 and 2024, and the results of its operations and its cash flows for the years then ended in accordance with accounting principles generally accepted in the United States of America.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Substantial Doubt about the Company’s Ability to Continue as a Going Concern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financial statements have been prepared assuming that the Company will continue as a going concern. As discussed in Note 2 of the notes to the financial statements, the Company has suffered losses from operations and has insufficient working capital to fund future operations, both of which raise substantial doubt about its ability to continue as a going concern. Management’s plans in regard to these matters are also described in Note 2. The financial statements do not include any adjustments that might result from the outcome of this uncertainty.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for Opinion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tLeast" w:line="230" w:before="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tLeast" w:line="230" w:before="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tLeast" w:line="230" w:before="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served as the Company’s auditor since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 Adeptus Partners, LLC</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Adeptus Partners, LLC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Ocean, New Jersey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August 20, 2025</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fOELS"/>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BALANCE SHEETS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AS OF JUNE 30, 2025 AND 2024</w:t>
      </w:r>
      <w:r>
        <w:rPr>
          <w:rFonts w:ascii="Times New Roman;Times;serif" w:hAnsi="Times New Roman;Times;serif"/>
          <w:b/>
          <w:i w:val="false"/>
          <w:caps w:val="false"/>
          <w:smallCaps w:val="false"/>
          <w:color w:val="000000"/>
          <w:spacing w:val="4"/>
          <w:sz w:val="20"/>
        </w:rPr>
        <w:t xml:space="preserve"> </w:t>
      </w:r>
    </w:p>
    <w:tbl>
      <w:tblPr>
        <w:tblW w:w="8626" w:type="dxa"/>
        <w:jc w:val="left"/>
        <w:tblInd w:w="1393" w:type="dxa"/>
        <w:tblLayout w:type="fixed"/>
        <w:tblCellMar>
          <w:top w:w="0" w:type="dxa"/>
          <w:left w:w="0" w:type="dxa"/>
          <w:bottom w:w="28" w:type="dxa"/>
          <w:right w:w="0" w:type="dxa"/>
        </w:tblCellMar>
      </w:tblPr>
      <w:tblGrid>
        <w:gridCol w:w="4476"/>
        <w:gridCol w:w="109"/>
        <w:gridCol w:w="109"/>
        <w:gridCol w:w="109"/>
        <w:gridCol w:w="226"/>
        <w:gridCol w:w="1336"/>
        <w:gridCol w:w="109"/>
        <w:gridCol w:w="109"/>
        <w:gridCol w:w="109"/>
        <w:gridCol w:w="109"/>
        <w:gridCol w:w="226"/>
        <w:gridCol w:w="1336"/>
        <w:gridCol w:w="109"/>
        <w:gridCol w:w="154"/>
      </w:tblGrid>
      <w:tr>
        <w:trPr/>
        <w:tc>
          <w:tcPr>
            <w:tcW w:w="44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283"/>
              <w:jc w:val="left"/>
              <w:rPr/>
            </w:pPr>
            <w:r>
              <w:rPr>
                <w:spacing w:val="-4"/>
              </w:rPr>
              <w:t>Current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16,731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67,339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Prepaids and deposits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tcMar>
              <w:bottom w:w="50" w:type="dxa"/>
            </w:tcMar>
            <w:vAlign w:val="center"/>
          </w:tcPr>
          <w:p>
            <w:pPr>
              <w:pStyle w:val="TableContents"/>
              <w:bidi w:val="0"/>
              <w:spacing w:before="0" w:after="283"/>
              <w:jc w:val="right"/>
              <w:rPr/>
            </w:pPr>
            <w:r>
              <w:rPr/>
              <w:t>22,361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tcMar>
              <w:bottom w:w="50" w:type="dxa"/>
            </w:tcMar>
            <w:vAlign w:val="center"/>
          </w:tcPr>
          <w:p>
            <w:pPr>
              <w:pStyle w:val="TableContents"/>
              <w:bidi w:val="0"/>
              <w:spacing w:before="0" w:after="283"/>
              <w:jc w:val="right"/>
              <w:rPr/>
            </w:pPr>
            <w:r>
              <w:rPr/>
              <w:t>14,330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shd w:fill="CCEEFF" w:val="clear"/>
            <w:tcMar>
              <w:bottom w:w="50" w:type="dxa"/>
            </w:tcMar>
            <w:vAlign w:val="center"/>
          </w:tcPr>
          <w:p>
            <w:pPr>
              <w:pStyle w:val="TableContents"/>
              <w:bidi w:val="0"/>
              <w:spacing w:before="0" w:after="283"/>
              <w:jc w:val="right"/>
              <w:rPr/>
            </w:pPr>
            <w:r>
              <w:rPr/>
              <w:t>39,092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shd w:fill="CCEEFF" w:val="clear"/>
            <w:tcMar>
              <w:bottom w:w="50" w:type="dxa"/>
            </w:tcMar>
            <w:vAlign w:val="center"/>
          </w:tcPr>
          <w:p>
            <w:pPr>
              <w:pStyle w:val="TableContents"/>
              <w:bidi w:val="0"/>
              <w:spacing w:before="0" w:after="283"/>
              <w:jc w:val="right"/>
              <w:rPr/>
            </w:pPr>
            <w:r>
              <w:rPr/>
              <w:t>81,669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283"/>
              <w:jc w:val="left"/>
              <w:rPr/>
            </w:pPr>
            <w:r>
              <w:rPr>
                <w:spacing w:val="-4"/>
              </w:rPr>
              <w:t>Non-Current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140,960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160,470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Property, plant and equipment,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tcMar>
              <w:bottom w:w="50" w:type="dxa"/>
            </w:tcMar>
            <w:vAlign w:val="center"/>
          </w:tcPr>
          <w:p>
            <w:pPr>
              <w:pStyle w:val="TableContents"/>
              <w:bidi w:val="0"/>
              <w:spacing w:before="0" w:after="283"/>
              <w:jc w:val="right"/>
              <w:rPr/>
            </w:pPr>
            <w:r>
              <w:rPr/>
              <w:t>250,497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tcMar>
              <w:bottom w:w="50" w:type="dxa"/>
            </w:tcMar>
            <w:vAlign w:val="center"/>
          </w:tcPr>
          <w:p>
            <w:pPr>
              <w:pStyle w:val="TableContents"/>
              <w:bidi w:val="0"/>
              <w:spacing w:before="0" w:after="283"/>
              <w:jc w:val="right"/>
              <w:rPr/>
            </w:pPr>
            <w:r>
              <w:rPr/>
              <w:t>263,504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non-current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shd w:fill="CCEEFF" w:val="clear"/>
            <w:tcMar>
              <w:bottom w:w="50" w:type="dxa"/>
            </w:tcMar>
            <w:vAlign w:val="center"/>
          </w:tcPr>
          <w:p>
            <w:pPr>
              <w:pStyle w:val="TableContents"/>
              <w:bidi w:val="0"/>
              <w:spacing w:before="0" w:after="283"/>
              <w:jc w:val="right"/>
              <w:rPr/>
            </w:pPr>
            <w:r>
              <w:rPr/>
              <w:t>391,457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shd w:fill="CCEEFF" w:val="clear"/>
            <w:tcMar>
              <w:bottom w:w="50" w:type="dxa"/>
            </w:tcMar>
            <w:vAlign w:val="center"/>
          </w:tcPr>
          <w:p>
            <w:pPr>
              <w:pStyle w:val="TableContents"/>
              <w:bidi w:val="0"/>
              <w:spacing w:before="0" w:after="283"/>
              <w:jc w:val="right"/>
              <w:rPr/>
            </w:pPr>
            <w:r>
              <w:rPr/>
              <w:t>423,974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pPr>
            <w:r>
              <w:rPr>
                <w:spacing w:val="-4"/>
              </w:rPr>
              <w:t>Total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0"/>
              <w:jc w:val="right"/>
              <w:rPr>
                <w:b w:val="false"/>
              </w:rPr>
            </w:pPr>
            <w:r>
              <w:rPr>
                <w:b w:val="false"/>
              </w:rPr>
              <w:t>$</w:t>
            </w:r>
          </w:p>
        </w:tc>
        <w:tc>
          <w:tcPr>
            <w:tcW w:w="1336" w:type="dxa"/>
            <w:tcBorders>
              <w:bottom w:val="double" w:sz="8" w:space="0" w:color="000000"/>
            </w:tcBorders>
            <w:tcMar>
              <w:bottom w:w="50" w:type="dxa"/>
            </w:tcMar>
            <w:vAlign w:val="center"/>
          </w:tcPr>
          <w:p>
            <w:pPr>
              <w:pStyle w:val="TableContents"/>
              <w:bidi w:val="0"/>
              <w:spacing w:before="0" w:after="0"/>
              <w:jc w:val="right"/>
              <w:rPr>
                <w:b w:val="false"/>
              </w:rPr>
            </w:pPr>
            <w:r>
              <w:rPr>
                <w:b/>
              </w:rPr>
              <w:t>430,549</w:t>
            </w:r>
            <w:r>
              <w:rPr>
                <w:b w:val="false"/>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36" w:type="dxa"/>
            <w:tcBorders>
              <w:bottom w:val="double" w:sz="8" w:space="0" w:color="000000"/>
            </w:tcBorders>
            <w:tcMar>
              <w:bottom w:w="50" w:type="dxa"/>
            </w:tcMar>
            <w:vAlign w:val="center"/>
          </w:tcPr>
          <w:p>
            <w:pPr>
              <w:pStyle w:val="TableContents"/>
              <w:bidi w:val="0"/>
              <w:spacing w:before="0" w:after="283"/>
              <w:jc w:val="right"/>
              <w:rPr/>
            </w:pPr>
            <w:r>
              <w:rPr/>
              <w:t>505,643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283"/>
              <w:jc w:val="left"/>
              <w:rPr/>
            </w:pPr>
            <w:r>
              <w:rPr>
                <w:spacing w:val="-4"/>
              </w:rPr>
              <w:t>LIABILITIES AND MEMBER’S CAPITAL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283"/>
              <w:jc w:val="left"/>
              <w:rPr/>
            </w:pPr>
            <w:r>
              <w:rPr>
                <w:spacing w:val="-4"/>
              </w:rPr>
              <w:t>Current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Accounts payable and accrued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7,115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76,290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Reclamation and environmental obligation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tcMar>
              <w:bottom w:w="50" w:type="dxa"/>
            </w:tcMar>
            <w:vAlign w:val="center"/>
          </w:tcPr>
          <w:p>
            <w:pPr>
              <w:pStyle w:val="TableContents"/>
              <w:bidi w:val="0"/>
              <w:spacing w:before="0" w:after="283"/>
              <w:jc w:val="right"/>
              <w:rPr/>
            </w:pPr>
            <w:r>
              <w:rPr/>
              <w:t>2,000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current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shd w:fill="CCEEFF" w:val="clear"/>
            <w:tcMar>
              <w:bottom w:w="50" w:type="dxa"/>
            </w:tcMar>
            <w:vAlign w:val="center"/>
          </w:tcPr>
          <w:p>
            <w:pPr>
              <w:pStyle w:val="TableContents"/>
              <w:bidi w:val="0"/>
              <w:spacing w:before="0" w:after="283"/>
              <w:jc w:val="right"/>
              <w:rPr/>
            </w:pPr>
            <w:r>
              <w:rPr/>
              <w:t>7,115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shd w:fill="CCEEFF" w:val="clear"/>
            <w:tcMar>
              <w:bottom w:w="50" w:type="dxa"/>
            </w:tcMar>
            <w:vAlign w:val="center"/>
          </w:tcPr>
          <w:p>
            <w:pPr>
              <w:pStyle w:val="TableContents"/>
              <w:bidi w:val="0"/>
              <w:spacing w:before="0" w:after="283"/>
              <w:jc w:val="right"/>
              <w:rPr/>
            </w:pPr>
            <w:r>
              <w:rPr/>
              <w:t>78,290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76" w:type="dxa"/>
            <w:tcBorders>
              <w:bottom w:val="single" w:sz="2" w:space="0" w:color="FFFFFF"/>
            </w:tcBorders>
            <w:tcMar>
              <w:bottom w:w="50" w:type="dxa"/>
            </w:tcMar>
            <w:vAlign w:val="center"/>
          </w:tcPr>
          <w:p>
            <w:pPr>
              <w:pStyle w:val="TableContents"/>
              <w:bidi w:val="0"/>
              <w:spacing w:before="0" w:after="0"/>
              <w:jc w:val="left"/>
              <w:rPr/>
            </w:pPr>
            <w:r>
              <w:rPr>
                <w:spacing w:val="-4"/>
              </w:rPr>
              <w:t>Total liabilities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tcMar>
              <w:bottom w:w="50" w:type="dxa"/>
            </w:tcMar>
            <w:vAlign w:val="center"/>
          </w:tcPr>
          <w:p>
            <w:pPr>
              <w:pStyle w:val="TableContents"/>
              <w:bidi w:val="0"/>
              <w:spacing w:before="0" w:after="283"/>
              <w:jc w:val="right"/>
              <w:rPr/>
            </w:pPr>
            <w:r>
              <w:rPr/>
              <w:t>7,115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tcMar>
              <w:bottom w:w="50" w:type="dxa"/>
            </w:tcMar>
            <w:vAlign w:val="center"/>
          </w:tcPr>
          <w:p>
            <w:pPr>
              <w:pStyle w:val="TableContents"/>
              <w:bidi w:val="0"/>
              <w:spacing w:before="0" w:after="283"/>
              <w:jc w:val="right"/>
              <w:rPr/>
            </w:pPr>
            <w:r>
              <w:rPr/>
              <w:t>78,290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283"/>
              <w:jc w:val="left"/>
              <w:rPr/>
            </w:pPr>
            <w:r>
              <w:rPr>
                <w:spacing w:val="-4"/>
              </w:rPr>
              <w:t>Commitments and contingencies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283"/>
              <w:jc w:val="left"/>
              <w:rPr/>
            </w:pPr>
            <w:r>
              <w:rPr>
                <w:spacing w:val="-4"/>
              </w:rPr>
              <w:t>Member’s capital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Member’s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13,872,938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13,723,074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Accumulated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tcMar>
              <w:bottom w:w="50" w:type="dxa"/>
            </w:tcMar>
            <w:vAlign w:val="center"/>
          </w:tcPr>
          <w:p>
            <w:pPr>
              <w:pStyle w:val="TableContents"/>
              <w:bidi w:val="0"/>
              <w:spacing w:before="0" w:after="283"/>
              <w:jc w:val="right"/>
              <w:rPr/>
            </w:pPr>
            <w:r>
              <w:rPr/>
              <w:t>(13,449,504)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tcMar>
              <w:bottom w:w="50" w:type="dxa"/>
            </w:tcMar>
            <w:vAlign w:val="center"/>
          </w:tcPr>
          <w:p>
            <w:pPr>
              <w:pStyle w:val="TableContents"/>
              <w:bidi w:val="0"/>
              <w:spacing w:before="0" w:after="283"/>
              <w:jc w:val="right"/>
              <w:rPr/>
            </w:pPr>
            <w:r>
              <w:rPr/>
              <w:t>(13,295,721)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member’s capital</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shd w:fill="CCEEFF" w:val="clear"/>
            <w:tcMar>
              <w:bottom w:w="50" w:type="dxa"/>
            </w:tcMar>
            <w:vAlign w:val="center"/>
          </w:tcPr>
          <w:p>
            <w:pPr>
              <w:pStyle w:val="TableContents"/>
              <w:bidi w:val="0"/>
              <w:spacing w:before="0" w:after="283"/>
              <w:jc w:val="right"/>
              <w:rPr/>
            </w:pPr>
            <w:r>
              <w:rPr/>
              <w:t>423,434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shd w:fill="CCEEFF" w:val="clear"/>
            <w:tcMar>
              <w:bottom w:w="50" w:type="dxa"/>
            </w:tcMar>
            <w:vAlign w:val="center"/>
          </w:tcPr>
          <w:p>
            <w:pPr>
              <w:pStyle w:val="TableContents"/>
              <w:bidi w:val="0"/>
              <w:spacing w:before="0" w:after="283"/>
              <w:jc w:val="right"/>
              <w:rPr/>
            </w:pPr>
            <w:r>
              <w:rPr/>
              <w:t>427,353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pPr>
            <w:r>
              <w:rPr>
                <w:spacing w:val="-4"/>
              </w:rPr>
              <w:t>Total liabilities and member’s capital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36" w:type="dxa"/>
            <w:tcBorders>
              <w:bottom w:val="double" w:sz="8" w:space="0" w:color="000000"/>
            </w:tcBorders>
            <w:tcMar>
              <w:bottom w:w="50" w:type="dxa"/>
            </w:tcMar>
            <w:vAlign w:val="center"/>
          </w:tcPr>
          <w:p>
            <w:pPr>
              <w:pStyle w:val="TableContents"/>
              <w:bidi w:val="0"/>
              <w:spacing w:before="0" w:after="283"/>
              <w:jc w:val="right"/>
              <w:rPr/>
            </w:pPr>
            <w:r>
              <w:rPr/>
              <w:t>430,549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36" w:type="dxa"/>
            <w:tcBorders>
              <w:bottom w:val="double" w:sz="8" w:space="0" w:color="000000"/>
            </w:tcBorders>
            <w:tcMar>
              <w:bottom w:w="50" w:type="dxa"/>
            </w:tcMar>
            <w:vAlign w:val="center"/>
          </w:tcPr>
          <w:p>
            <w:pPr>
              <w:pStyle w:val="TableContents"/>
              <w:bidi w:val="0"/>
              <w:spacing w:before="0" w:after="283"/>
              <w:jc w:val="right"/>
              <w:rPr/>
            </w:pPr>
            <w:r>
              <w:rPr/>
              <w:t>505,643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fOELO"/>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STATEMENTS OF OPERATIONS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YEARS ENDED JUNE 30, 2025 AND 2024</w:t>
      </w:r>
      <w:r>
        <w:rPr>
          <w:rFonts w:ascii="Times New Roman;Times;serif" w:hAnsi="Times New Roman;Times;serif"/>
          <w:b/>
          <w:i w:val="false"/>
          <w:caps w:val="false"/>
          <w:smallCaps w:val="false"/>
          <w:color w:val="000000"/>
          <w:spacing w:val="4"/>
          <w:sz w:val="20"/>
        </w:rPr>
        <w:t xml:space="preserve"> </w:t>
      </w:r>
    </w:p>
    <w:tbl>
      <w:tblPr>
        <w:tblW w:w="7038" w:type="dxa"/>
        <w:jc w:val="left"/>
        <w:tblInd w:w="1393" w:type="dxa"/>
        <w:tblLayout w:type="fixed"/>
        <w:tblCellMar>
          <w:top w:w="0" w:type="dxa"/>
          <w:left w:w="0" w:type="dxa"/>
          <w:bottom w:w="28" w:type="dxa"/>
          <w:right w:w="0" w:type="dxa"/>
        </w:tblCellMar>
      </w:tblPr>
      <w:tblGrid>
        <w:gridCol w:w="3758"/>
        <w:gridCol w:w="109"/>
        <w:gridCol w:w="109"/>
        <w:gridCol w:w="109"/>
        <w:gridCol w:w="226"/>
        <w:gridCol w:w="916"/>
        <w:gridCol w:w="109"/>
        <w:gridCol w:w="109"/>
        <w:gridCol w:w="109"/>
        <w:gridCol w:w="109"/>
        <w:gridCol w:w="226"/>
        <w:gridCol w:w="886"/>
        <w:gridCol w:w="109"/>
        <w:gridCol w:w="154"/>
      </w:tblGrid>
      <w:tr>
        <w:trPr/>
        <w:tc>
          <w:tcPr>
            <w:tcW w:w="375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58" w:type="dxa"/>
            <w:tcBorders/>
            <w:shd w:fill="CCEEFF" w:val="clear"/>
            <w:tcMar>
              <w:bottom w:w="0" w:type="dxa"/>
            </w:tcMar>
            <w:vAlign w:val="center"/>
          </w:tcPr>
          <w:p>
            <w:pPr>
              <w:pStyle w:val="TableContents"/>
              <w:bidi w:val="0"/>
              <w:spacing w:before="0" w:after="283"/>
              <w:jc w:val="left"/>
              <w:rPr/>
            </w:pPr>
            <w:r>
              <w:rPr>
                <w:spacing w:val="-4"/>
              </w:rPr>
              <w:t>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58" w:type="dxa"/>
            <w:tcBorders/>
            <w:tcMar>
              <w:bottom w:w="0" w:type="dxa"/>
            </w:tcMar>
            <w:vAlign w:val="center"/>
          </w:tcPr>
          <w:p>
            <w:pPr>
              <w:pStyle w:val="TableContents"/>
              <w:bidi w:val="0"/>
              <w:spacing w:before="0" w:after="0"/>
              <w:jc w:val="left"/>
              <w:rPr>
                <w:spacing w:val="4"/>
              </w:rPr>
            </w:pPr>
            <w:r>
              <w:rPr>
                <w:spacing w:val="4"/>
              </w:rPr>
              <w:t xml:space="preserve">Exploration and evaluation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201,932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734,803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5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General and administration costs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35,408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38,969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758" w:type="dxa"/>
            <w:tcBorders>
              <w:bottom w:val="single" w:sz="2" w:space="0" w:color="FFFFFF"/>
            </w:tcBorders>
            <w:tcMar>
              <w:bottom w:w="50" w:type="dxa"/>
            </w:tcMar>
            <w:vAlign w:val="center"/>
          </w:tcPr>
          <w:p>
            <w:pPr>
              <w:pStyle w:val="TableContents"/>
              <w:bidi w:val="0"/>
              <w:spacing w:before="0" w:after="0"/>
              <w:jc w:val="left"/>
              <w:rPr/>
            </w:pPr>
            <w:r>
              <w:rPr>
                <w:spacing w:val="-4"/>
              </w:rPr>
              <w:t>Total expenses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237,340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773,772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58" w:type="dxa"/>
            <w:tcBorders/>
            <w:shd w:fill="CCEEFF" w:val="clear"/>
            <w:tcMar>
              <w:bottom w:w="0" w:type="dxa"/>
            </w:tcMar>
            <w:vAlign w:val="center"/>
          </w:tcPr>
          <w:p>
            <w:pPr>
              <w:pStyle w:val="TableContents"/>
              <w:bidi w:val="0"/>
              <w:spacing w:before="0" w:after="283"/>
              <w:jc w:val="left"/>
              <w:rPr/>
            </w:pPr>
            <w:r>
              <w:rPr>
                <w:spacing w:val="-4"/>
              </w:rPr>
              <w:t>Other income(expense)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5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(83,557)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58" w:type="dxa"/>
            <w:tcBorders/>
            <w:shd w:fill="CCEEFF" w:val="clear"/>
            <w:tcMar>
              <w:bottom w:w="0" w:type="dxa"/>
            </w:tcMar>
            <w:vAlign w:val="center"/>
          </w:tcPr>
          <w:p>
            <w:pPr>
              <w:pStyle w:val="TableContents"/>
              <w:bidi w:val="0"/>
              <w:spacing w:before="0" w:after="0"/>
              <w:jc w:val="left"/>
              <w:rPr/>
            </w:pPr>
            <w:r>
              <w:rPr>
                <w:spacing w:val="-4"/>
              </w:rPr>
              <w:t>Net loss for the year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153,783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773,772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fOELO1"/>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STATEMENTS OF CHANGES IN MEMBER’S CAPITAL</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YEARS ENDED JUNE 30, 2025 AND 2024</w:t>
      </w:r>
      <w:r>
        <w:rPr>
          <w:rFonts w:ascii="Times New Roman;Times;serif" w:hAnsi="Times New Roman;Times;serif"/>
          <w:b/>
          <w:i w:val="false"/>
          <w:caps w:val="false"/>
          <w:smallCaps w:val="false"/>
          <w:color w:val="000000"/>
          <w:spacing w:val="4"/>
          <w:sz w:val="20"/>
        </w:rPr>
        <w:t xml:space="preserve"> </w:t>
      </w:r>
    </w:p>
    <w:tbl>
      <w:tblPr>
        <w:tblW w:w="8622" w:type="dxa"/>
        <w:jc w:val="left"/>
        <w:tblInd w:w="1393" w:type="dxa"/>
        <w:tblLayout w:type="fixed"/>
        <w:tblCellMar>
          <w:top w:w="0" w:type="dxa"/>
          <w:left w:w="0" w:type="dxa"/>
          <w:bottom w:w="28" w:type="dxa"/>
          <w:right w:w="0" w:type="dxa"/>
        </w:tblCellMar>
      </w:tblPr>
      <w:tblGrid>
        <w:gridCol w:w="2787"/>
        <w:gridCol w:w="109"/>
        <w:gridCol w:w="109"/>
        <w:gridCol w:w="109"/>
        <w:gridCol w:w="226"/>
        <w:gridCol w:w="1186"/>
        <w:gridCol w:w="109"/>
        <w:gridCol w:w="109"/>
        <w:gridCol w:w="109"/>
        <w:gridCol w:w="109"/>
        <w:gridCol w:w="226"/>
        <w:gridCol w:w="1336"/>
        <w:gridCol w:w="109"/>
        <w:gridCol w:w="109"/>
        <w:gridCol w:w="109"/>
        <w:gridCol w:w="119"/>
        <w:gridCol w:w="247"/>
        <w:gridCol w:w="1132"/>
        <w:gridCol w:w="119"/>
        <w:gridCol w:w="154"/>
      </w:tblGrid>
      <w:tr>
        <w:trPr/>
        <w:tc>
          <w:tcPr>
            <w:tcW w:w="27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Member’s </w:t>
            </w:r>
            <w:r>
              <w:rPr/>
              <w:br/>
            </w:r>
            <w:r>
              <w:rPr>
                <w:spacing w:val="-3"/>
              </w:rPr>
              <w:t xml:space="preserve">capital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1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 member’s</w:t>
            </w:r>
            <w:r>
              <w:rPr/>
              <w:t xml:space="preserve"> </w:t>
              <w:br/>
            </w:r>
            <w:r>
              <w:rPr>
                <w:spacing w:val="-3"/>
              </w:rPr>
              <w:t xml:space="preserve">capital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787" w:type="dxa"/>
            <w:tcBorders/>
            <w:shd w:fill="CCEEFF" w:val="clear"/>
            <w:tcMar>
              <w:bottom w:w="0" w:type="dxa"/>
            </w:tcMar>
            <w:vAlign w:val="center"/>
          </w:tcPr>
          <w:p>
            <w:pPr>
              <w:pStyle w:val="TableContents"/>
              <w:bidi w:val="0"/>
              <w:spacing w:before="0" w:after="0"/>
              <w:jc w:val="left"/>
              <w:rPr/>
            </w:pPr>
            <w:r>
              <w:rPr>
                <w:spacing w:val="-4"/>
              </w:rPr>
              <w:t>Balance as of June 30, 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13,072,016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(12,521,949)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1132" w:type="dxa"/>
            <w:tcBorders/>
            <w:shd w:fill="CCEEFF" w:val="clear"/>
            <w:tcMar>
              <w:bottom w:w="0" w:type="dxa"/>
            </w:tcMar>
            <w:vAlign w:val="center"/>
          </w:tcPr>
          <w:p>
            <w:pPr>
              <w:pStyle w:val="TableContents"/>
              <w:bidi w:val="0"/>
              <w:spacing w:before="0" w:after="283"/>
              <w:jc w:val="right"/>
              <w:rPr/>
            </w:pPr>
            <w:r>
              <w:rPr/>
              <w:t>550,067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87" w:type="dxa"/>
            <w:tcBorders/>
            <w:tcMar>
              <w:bottom w:w="0" w:type="dxa"/>
            </w:tcMar>
            <w:vAlign w:val="center"/>
          </w:tcPr>
          <w:p>
            <w:pPr>
              <w:pStyle w:val="TableContents"/>
              <w:bidi w:val="0"/>
              <w:spacing w:before="0" w:after="0"/>
              <w:jc w:val="left"/>
              <w:rPr>
                <w:spacing w:val="4"/>
              </w:rPr>
            </w:pPr>
            <w:r>
              <w:rPr>
                <w:spacing w:val="4"/>
              </w:rPr>
              <w:t xml:space="preserve">Capital contributions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651,058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1132" w:type="dxa"/>
            <w:tcBorders/>
            <w:tcMar>
              <w:bottom w:w="0" w:type="dxa"/>
            </w:tcMar>
            <w:vAlign w:val="center"/>
          </w:tcPr>
          <w:p>
            <w:pPr>
              <w:pStyle w:val="TableContents"/>
              <w:bidi w:val="0"/>
              <w:spacing w:before="0" w:after="283"/>
              <w:jc w:val="right"/>
              <w:rPr/>
            </w:pPr>
            <w:r>
              <w:rPr/>
              <w:t>651,058</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8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Net loss for the year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shd w:fill="CCEEFF" w:val="clear"/>
            <w:tcMar>
              <w:bottom w:w="50" w:type="dxa"/>
            </w:tcMar>
            <w:vAlign w:val="center"/>
          </w:tcPr>
          <w:p>
            <w:pPr>
              <w:pStyle w:val="TableContents"/>
              <w:bidi w:val="0"/>
              <w:spacing w:before="0" w:after="283"/>
              <w:jc w:val="right"/>
              <w:rPr/>
            </w:pPr>
            <w:r>
              <w:rPr/>
              <w:t>(773,772)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32" w:type="dxa"/>
            <w:tcBorders>
              <w:bottom w:val="single" w:sz="2" w:space="0" w:color="000000"/>
            </w:tcBorders>
            <w:shd w:fill="CCEEFF" w:val="clear"/>
            <w:tcMar>
              <w:bottom w:w="50" w:type="dxa"/>
            </w:tcMar>
            <w:vAlign w:val="center"/>
          </w:tcPr>
          <w:p>
            <w:pPr>
              <w:pStyle w:val="TableContents"/>
              <w:bidi w:val="0"/>
              <w:spacing w:before="0" w:after="283"/>
              <w:jc w:val="right"/>
              <w:rPr/>
            </w:pPr>
            <w:r>
              <w:rPr/>
              <w:t>(773,772)</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787" w:type="dxa"/>
            <w:tcBorders/>
            <w:tcMar>
              <w:bottom w:w="0" w:type="dxa"/>
            </w:tcMar>
            <w:vAlign w:val="center"/>
          </w:tcPr>
          <w:p>
            <w:pPr>
              <w:pStyle w:val="TableContents"/>
              <w:bidi w:val="0"/>
              <w:spacing w:before="0" w:after="0"/>
              <w:jc w:val="left"/>
              <w:rPr/>
            </w:pPr>
            <w:r>
              <w:rPr>
                <w:spacing w:val="-4"/>
              </w:rPr>
              <w:t>Balance as of June 30, 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13,723,074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36" w:type="dxa"/>
            <w:tcBorders>
              <w:bottom w:val="double" w:sz="8" w:space="0" w:color="000000"/>
            </w:tcBorders>
            <w:tcMar>
              <w:bottom w:w="50" w:type="dxa"/>
            </w:tcMar>
            <w:vAlign w:val="center"/>
          </w:tcPr>
          <w:p>
            <w:pPr>
              <w:pStyle w:val="TableContents"/>
              <w:bidi w:val="0"/>
              <w:spacing w:before="0" w:after="283"/>
              <w:jc w:val="right"/>
              <w:rPr/>
            </w:pPr>
            <w:r>
              <w:rPr/>
              <w:t>(13,295,721)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bottom w:val="double" w:sz="8" w:space="0" w:color="000000"/>
            </w:tcBorders>
            <w:tcMar>
              <w:bottom w:w="50" w:type="dxa"/>
            </w:tcMar>
            <w:vAlign w:val="center"/>
          </w:tcPr>
          <w:p>
            <w:pPr>
              <w:pStyle w:val="TableContents"/>
              <w:bidi w:val="0"/>
              <w:spacing w:before="0" w:after="283"/>
              <w:jc w:val="right"/>
              <w:rPr/>
            </w:pPr>
            <w:r>
              <w:rPr/>
              <w:t>​</w:t>
            </w:r>
          </w:p>
        </w:tc>
        <w:tc>
          <w:tcPr>
            <w:tcW w:w="1132" w:type="dxa"/>
            <w:tcBorders>
              <w:bottom w:val="double" w:sz="8" w:space="0" w:color="000000"/>
            </w:tcBorders>
            <w:tcMar>
              <w:bottom w:w="50" w:type="dxa"/>
            </w:tcMar>
            <w:vAlign w:val="center"/>
          </w:tcPr>
          <w:p>
            <w:pPr>
              <w:pStyle w:val="TableContents"/>
              <w:bidi w:val="0"/>
              <w:spacing w:before="0" w:after="283"/>
              <w:jc w:val="right"/>
              <w:rPr/>
            </w:pPr>
            <w:r>
              <w:rPr/>
              <w:t>427,353</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87" w:type="dxa"/>
            <w:tcBorders/>
            <w:shd w:fill="CCEEFF" w:val="clear"/>
            <w:tcMar>
              <w:bottom w:w="0" w:type="dxa"/>
            </w:tcMar>
            <w:vAlign w:val="center"/>
          </w:tcPr>
          <w:p>
            <w:pPr>
              <w:pStyle w:val="TableContents"/>
              <w:bidi w:val="0"/>
              <w:spacing w:before="0" w:after="0"/>
              <w:jc w:val="left"/>
              <w:rPr>
                <w:spacing w:val="4"/>
              </w:rPr>
            </w:pPr>
            <w:r>
              <w:rPr>
                <w:spacing w:val="4"/>
              </w:rPr>
              <w:t xml:space="preserve">Capital contributions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149,864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1132" w:type="dxa"/>
            <w:tcBorders/>
            <w:shd w:fill="CCEEFF" w:val="clear"/>
            <w:tcMar>
              <w:bottom w:w="0" w:type="dxa"/>
            </w:tcMar>
            <w:vAlign w:val="center"/>
          </w:tcPr>
          <w:p>
            <w:pPr>
              <w:pStyle w:val="TableContents"/>
              <w:bidi w:val="0"/>
              <w:spacing w:before="0" w:after="283"/>
              <w:jc w:val="right"/>
              <w:rPr/>
            </w:pPr>
            <w:r>
              <w:rPr/>
              <w:t>149,864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8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Net loss for the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tcMar>
              <w:bottom w:w="50" w:type="dxa"/>
            </w:tcMar>
            <w:vAlign w:val="center"/>
          </w:tcPr>
          <w:p>
            <w:pPr>
              <w:pStyle w:val="TableContents"/>
              <w:bidi w:val="0"/>
              <w:spacing w:before="0" w:after="283"/>
              <w:jc w:val="right"/>
              <w:rPr/>
            </w:pPr>
            <w:r>
              <w:rPr/>
              <w:t>(153,783)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7" w:type="dxa"/>
            <w:tcBorders>
              <w:bottom w:val="single" w:sz="2" w:space="0" w:color="000000"/>
            </w:tcBorders>
            <w:tcMar>
              <w:bottom w:w="50" w:type="dxa"/>
            </w:tcMar>
            <w:vAlign w:val="center"/>
          </w:tcPr>
          <w:p>
            <w:pPr>
              <w:pStyle w:val="TableContents"/>
              <w:bidi w:val="0"/>
              <w:spacing w:before="0" w:after="283"/>
              <w:jc w:val="right"/>
              <w:rPr/>
            </w:pPr>
            <w:r>
              <w:rPr/>
              <w:t>​</w:t>
            </w:r>
          </w:p>
        </w:tc>
        <w:tc>
          <w:tcPr>
            <w:tcW w:w="1132" w:type="dxa"/>
            <w:tcBorders>
              <w:bottom w:val="single" w:sz="2" w:space="0" w:color="000000"/>
            </w:tcBorders>
            <w:tcMar>
              <w:bottom w:w="50" w:type="dxa"/>
            </w:tcMar>
            <w:vAlign w:val="center"/>
          </w:tcPr>
          <w:p>
            <w:pPr>
              <w:pStyle w:val="TableContents"/>
              <w:bidi w:val="0"/>
              <w:spacing w:before="0" w:after="283"/>
              <w:jc w:val="right"/>
              <w:rPr/>
            </w:pPr>
            <w:r>
              <w:rPr/>
              <w:t>(153,783)</w:t>
            </w:r>
          </w:p>
        </w:tc>
        <w:tc>
          <w:tcPr>
            <w:tcW w:w="11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787" w:type="dxa"/>
            <w:tcBorders/>
            <w:shd w:fill="CCEEFF" w:val="clear"/>
            <w:tcMar>
              <w:bottom w:w="0" w:type="dxa"/>
            </w:tcMar>
            <w:vAlign w:val="center"/>
          </w:tcPr>
          <w:p>
            <w:pPr>
              <w:pStyle w:val="TableContents"/>
              <w:bidi w:val="0"/>
              <w:spacing w:before="0" w:after="0"/>
              <w:jc w:val="left"/>
              <w:rPr/>
            </w:pPr>
            <w:r>
              <w:rPr>
                <w:spacing w:val="-4"/>
              </w:rPr>
              <w:t>Balance as of June 30,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13,872,938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36" w:type="dxa"/>
            <w:tcBorders>
              <w:bottom w:val="double" w:sz="8" w:space="0" w:color="000000"/>
            </w:tcBorders>
            <w:shd w:fill="CCEEFF" w:val="clear"/>
            <w:tcMar>
              <w:bottom w:w="50" w:type="dxa"/>
            </w:tcMar>
            <w:vAlign w:val="center"/>
          </w:tcPr>
          <w:p>
            <w:pPr>
              <w:pStyle w:val="TableContents"/>
              <w:bidi w:val="0"/>
              <w:spacing w:before="0" w:after="283"/>
              <w:jc w:val="right"/>
              <w:rPr/>
            </w:pPr>
            <w:r>
              <w:rPr/>
              <w:t>(13,449,504)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32" w:type="dxa"/>
            <w:tcBorders>
              <w:bottom w:val="double" w:sz="8" w:space="0" w:color="000000"/>
            </w:tcBorders>
            <w:shd w:fill="CCEEFF" w:val="clear"/>
            <w:tcMar>
              <w:bottom w:w="50" w:type="dxa"/>
            </w:tcMar>
            <w:vAlign w:val="center"/>
          </w:tcPr>
          <w:p>
            <w:pPr>
              <w:pStyle w:val="TableContents"/>
              <w:bidi w:val="0"/>
              <w:spacing w:before="0" w:after="283"/>
              <w:jc w:val="right"/>
              <w:rPr/>
            </w:pPr>
            <w:r>
              <w:rPr/>
              <w:t>423,434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fOELO2"/>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STATEMENTS OF CASH FLOWS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 ENDED JUNE 30, 2025 AND 2024</w:t>
      </w:r>
      <w:r>
        <w:rPr>
          <w:rFonts w:ascii="Times New Roman;Times;serif" w:hAnsi="Times New Roman;Times;serif"/>
          <w:b/>
          <w:i w:val="false"/>
          <w:caps w:val="false"/>
          <w:smallCaps w:val="false"/>
          <w:color w:val="000000"/>
          <w:spacing w:val="4"/>
          <w:sz w:val="20"/>
        </w:rPr>
        <w:t xml:space="preserve"> </w:t>
      </w:r>
    </w:p>
    <w:tbl>
      <w:tblPr>
        <w:tblW w:w="8787" w:type="dxa"/>
        <w:jc w:val="left"/>
        <w:tblInd w:w="1393" w:type="dxa"/>
        <w:tblLayout w:type="fixed"/>
        <w:tblCellMar>
          <w:top w:w="0" w:type="dxa"/>
          <w:left w:w="0" w:type="dxa"/>
          <w:bottom w:w="28" w:type="dxa"/>
          <w:right w:w="0" w:type="dxa"/>
        </w:tblCellMar>
      </w:tblPr>
      <w:tblGrid>
        <w:gridCol w:w="5237"/>
        <w:gridCol w:w="109"/>
        <w:gridCol w:w="109"/>
        <w:gridCol w:w="109"/>
        <w:gridCol w:w="226"/>
        <w:gridCol w:w="1036"/>
        <w:gridCol w:w="109"/>
        <w:gridCol w:w="109"/>
        <w:gridCol w:w="109"/>
        <w:gridCol w:w="109"/>
        <w:gridCol w:w="226"/>
        <w:gridCol w:w="1036"/>
        <w:gridCol w:w="109"/>
        <w:gridCol w:w="154"/>
      </w:tblGrid>
      <w:tr>
        <w:trPr/>
        <w:tc>
          <w:tcPr>
            <w:tcW w:w="52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37" w:type="dxa"/>
            <w:tcBorders/>
            <w:shd w:fill="CCEEFF" w:val="clear"/>
            <w:tcMar>
              <w:bottom w:w="0" w:type="dxa"/>
            </w:tcMar>
            <w:vAlign w:val="center"/>
          </w:tcPr>
          <w:p>
            <w:pPr>
              <w:pStyle w:val="TableContents"/>
              <w:bidi w:val="0"/>
              <w:spacing w:before="0" w:after="283"/>
              <w:jc w:val="left"/>
              <w:rPr/>
            </w:pPr>
            <w:r>
              <w:rPr>
                <w:spacing w:val="-4"/>
              </w:rPr>
              <w:t>Cash flows from operating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37" w:type="dxa"/>
            <w:tcBorders/>
            <w:tcMar>
              <w:bottom w:w="0" w:type="dxa"/>
            </w:tcMar>
            <w:vAlign w:val="center"/>
          </w:tcPr>
          <w:p>
            <w:pPr>
              <w:pStyle w:val="TableContents"/>
              <w:bidi w:val="0"/>
              <w:spacing w:before="0" w:after="0"/>
              <w:jc w:val="left"/>
              <w:rPr>
                <w:spacing w:val="4"/>
              </w:rPr>
            </w:pPr>
            <w:r>
              <w:rPr>
                <w:spacing w:val="4"/>
              </w:rPr>
              <w:t xml:space="preserve">Net loss for the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(153,783)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(773,772)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37" w:type="dxa"/>
            <w:tcBorders/>
            <w:shd w:fill="CCEEFF" w:val="clear"/>
            <w:tcMar>
              <w:bottom w:w="0" w:type="dxa"/>
            </w:tcMar>
            <w:vAlign w:val="center"/>
          </w:tcPr>
          <w:p>
            <w:pPr>
              <w:pStyle w:val="TableContents"/>
              <w:bidi w:val="0"/>
              <w:spacing w:before="0" w:after="283"/>
              <w:jc w:val="left"/>
              <w:rPr>
                <w:spacing w:val="4"/>
              </w:rPr>
            </w:pPr>
            <w:r>
              <w:rPr>
                <w:spacing w:val="4"/>
              </w:rPr>
              <w:t xml:space="preserve">Non-cash items: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37" w:type="dxa"/>
            <w:tcBorders/>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13,007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13,007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37" w:type="dxa"/>
            <w:tcBorders/>
            <w:shd w:fill="CCEEFF" w:val="clear"/>
            <w:tcMar>
              <w:bottom w:w="0" w:type="dxa"/>
            </w:tcMar>
            <w:vAlign w:val="center"/>
          </w:tcPr>
          <w:p>
            <w:pPr>
              <w:pStyle w:val="TableContents"/>
              <w:bidi w:val="0"/>
              <w:spacing w:before="0" w:after="283"/>
              <w:jc w:val="left"/>
              <w:rPr>
                <w:spacing w:val="4"/>
              </w:rPr>
            </w:pPr>
            <w:r>
              <w:rPr>
                <w:spacing w:val="4"/>
              </w:rPr>
              <w:t xml:space="preserve">Changes in operating working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37" w:type="dxa"/>
            <w:tcBorders/>
            <w:tcMar>
              <w:bottom w:w="0" w:type="dxa"/>
            </w:tcMar>
            <w:vAlign w:val="center"/>
          </w:tcPr>
          <w:p>
            <w:pPr>
              <w:pStyle w:val="TableContents"/>
              <w:bidi w:val="0"/>
              <w:spacing w:before="0" w:after="0"/>
              <w:jc w:val="left"/>
              <w:rPr>
                <w:spacing w:val="4"/>
              </w:rPr>
            </w:pPr>
            <w:r>
              <w:rPr>
                <w:spacing w:val="4"/>
              </w:rPr>
              <w:t xml:space="preserve">Prepaids and 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(8,031)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(1,908)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37" w:type="dxa"/>
            <w:tcBorders/>
            <w:shd w:fill="CCEEFF" w:val="clear"/>
            <w:tcMar>
              <w:bottom w:w="0" w:type="dxa"/>
            </w:tcMar>
            <w:vAlign w:val="center"/>
          </w:tcPr>
          <w:p>
            <w:pPr>
              <w:pStyle w:val="TableContents"/>
              <w:bidi w:val="0"/>
              <w:spacing w:before="0" w:after="0"/>
              <w:jc w:val="left"/>
              <w:rPr>
                <w:spacing w:val="4"/>
              </w:rPr>
            </w:pPr>
            <w:r>
              <w:rPr>
                <w:spacing w:val="4"/>
              </w:rPr>
              <w:t xml:space="preserve">Accounts payable and accrued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(69,175)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35,465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3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Reclamation and environmental obligation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tcMar>
              <w:bottom w:w="50" w:type="dxa"/>
            </w:tcMar>
            <w:vAlign w:val="center"/>
          </w:tcPr>
          <w:p>
            <w:pPr>
              <w:pStyle w:val="TableContents"/>
              <w:bidi w:val="0"/>
              <w:spacing w:before="0" w:after="283"/>
              <w:jc w:val="right"/>
              <w:rPr/>
            </w:pPr>
            <w:r>
              <w:rPr/>
              <w:t>(2,000)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tcMar>
              <w:bottom w:w="50" w:type="dxa"/>
            </w:tcMar>
            <w:vAlign w:val="center"/>
          </w:tcPr>
          <w:p>
            <w:pPr>
              <w:pStyle w:val="TableContents"/>
              <w:bidi w:val="0"/>
              <w:spacing w:before="0" w:after="283"/>
              <w:jc w:val="right"/>
              <w:rPr/>
            </w:pPr>
            <w:r>
              <w:rPr/>
              <w:t>(14,628)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37"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Net cash used in operating activities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shd w:fill="CCEEFF" w:val="clear"/>
            <w:tcMar>
              <w:bottom w:w="50" w:type="dxa"/>
            </w:tcMar>
            <w:vAlign w:val="center"/>
          </w:tcPr>
          <w:p>
            <w:pPr>
              <w:pStyle w:val="TableContents"/>
              <w:bidi w:val="0"/>
              <w:spacing w:before="0" w:after="283"/>
              <w:jc w:val="right"/>
              <w:rPr/>
            </w:pPr>
            <w:r>
              <w:rPr/>
              <w:t>(219,982)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shd w:fill="CCEEFF" w:val="clear"/>
            <w:tcMar>
              <w:bottom w:w="50" w:type="dxa"/>
            </w:tcMar>
            <w:vAlign w:val="center"/>
          </w:tcPr>
          <w:p>
            <w:pPr>
              <w:pStyle w:val="TableContents"/>
              <w:bidi w:val="0"/>
              <w:spacing w:before="0" w:after="283"/>
              <w:jc w:val="right"/>
              <w:rPr/>
            </w:pPr>
            <w:r>
              <w:rPr/>
              <w:t>(741,836)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37" w:type="dxa"/>
            <w:tcBorders/>
            <w:tcMar>
              <w:bottom w:w="0" w:type="dxa"/>
            </w:tcMar>
            <w:vAlign w:val="center"/>
          </w:tcPr>
          <w:p>
            <w:pPr>
              <w:pStyle w:val="TableContents"/>
              <w:bidi w:val="0"/>
              <w:spacing w:before="0" w:after="283"/>
              <w:jc w:val="left"/>
              <w:rPr/>
            </w:pPr>
            <w:r>
              <w:rPr>
                <w:spacing w:val="-4"/>
              </w:rPr>
              <w:t>Cash flows from financing activities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3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Capital contributions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shd w:fill="CCEEFF" w:val="clear"/>
            <w:tcMar>
              <w:bottom w:w="50" w:type="dxa"/>
            </w:tcMar>
            <w:vAlign w:val="center"/>
          </w:tcPr>
          <w:p>
            <w:pPr>
              <w:pStyle w:val="TableContents"/>
              <w:bidi w:val="0"/>
              <w:spacing w:before="0" w:after="283"/>
              <w:jc w:val="right"/>
              <w:rPr/>
            </w:pPr>
            <w:r>
              <w:rPr/>
              <w:t>149,864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shd w:fill="CCEEFF" w:val="clear"/>
            <w:tcMar>
              <w:bottom w:w="50" w:type="dxa"/>
            </w:tcMar>
            <w:vAlign w:val="center"/>
          </w:tcPr>
          <w:p>
            <w:pPr>
              <w:pStyle w:val="TableContents"/>
              <w:bidi w:val="0"/>
              <w:spacing w:before="0" w:after="283"/>
              <w:jc w:val="right"/>
              <w:rPr/>
            </w:pPr>
            <w:r>
              <w:rPr/>
              <w:t>651,058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37" w:type="dxa"/>
            <w:tcBorders>
              <w:bottom w:val="single" w:sz="2" w:space="0" w:color="FFFFFF"/>
            </w:tcBorders>
            <w:tcMar>
              <w:bottom w:w="50" w:type="dxa"/>
            </w:tcMar>
            <w:vAlign w:val="center"/>
          </w:tcPr>
          <w:p>
            <w:pPr>
              <w:pStyle w:val="TableContents"/>
              <w:bidi w:val="0"/>
              <w:spacing w:before="0" w:after="0"/>
              <w:jc w:val="left"/>
              <w:rPr/>
            </w:pPr>
            <w:r>
              <w:rPr>
                <w:spacing w:val="-4"/>
              </w:rPr>
              <w:t>Net cash provided by financing activities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tcMar>
              <w:bottom w:w="50" w:type="dxa"/>
            </w:tcMar>
            <w:vAlign w:val="center"/>
          </w:tcPr>
          <w:p>
            <w:pPr>
              <w:pStyle w:val="TableContents"/>
              <w:bidi w:val="0"/>
              <w:spacing w:before="0" w:after="283"/>
              <w:jc w:val="right"/>
              <w:rPr/>
            </w:pPr>
            <w:r>
              <w:rPr/>
              <w:t>149,864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tcMar>
              <w:bottom w:w="50" w:type="dxa"/>
            </w:tcMar>
            <w:vAlign w:val="center"/>
          </w:tcPr>
          <w:p>
            <w:pPr>
              <w:pStyle w:val="TableContents"/>
              <w:bidi w:val="0"/>
              <w:spacing w:before="0" w:after="283"/>
              <w:jc w:val="right"/>
              <w:rPr/>
            </w:pPr>
            <w:r>
              <w:rPr/>
              <w:t>651,058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37"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cash and 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(70,118)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(90,778)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3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Cash and restricted cash at the beginning of the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tcMar>
              <w:bottom w:w="50" w:type="dxa"/>
            </w:tcMar>
            <w:vAlign w:val="center"/>
          </w:tcPr>
          <w:p>
            <w:pPr>
              <w:pStyle w:val="TableContents"/>
              <w:bidi w:val="0"/>
              <w:spacing w:before="0" w:after="283"/>
              <w:jc w:val="right"/>
              <w:rPr/>
            </w:pPr>
            <w:r>
              <w:rPr/>
              <w:t>227,809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tcMar>
              <w:bottom w:w="50" w:type="dxa"/>
            </w:tcMar>
            <w:vAlign w:val="center"/>
          </w:tcPr>
          <w:p>
            <w:pPr>
              <w:pStyle w:val="TableContents"/>
              <w:bidi w:val="0"/>
              <w:spacing w:before="0" w:after="283"/>
              <w:jc w:val="right"/>
              <w:rPr/>
            </w:pPr>
            <w:r>
              <w:rPr/>
              <w:t>318,587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37" w:type="dxa"/>
            <w:tcBorders/>
            <w:shd w:fill="CCEEFF" w:val="clear"/>
            <w:tcMar>
              <w:bottom w:w="0" w:type="dxa"/>
            </w:tcMar>
            <w:vAlign w:val="center"/>
          </w:tcPr>
          <w:p>
            <w:pPr>
              <w:pStyle w:val="TableContents"/>
              <w:bidi w:val="0"/>
              <w:spacing w:before="0" w:after="0"/>
              <w:jc w:val="left"/>
              <w:rPr/>
            </w:pPr>
            <w:r>
              <w:rPr>
                <w:spacing w:val="-4"/>
              </w:rPr>
              <w:t>Cash and restricted cash at the end of the year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double" w:sz="8" w:space="0" w:color="000000"/>
            </w:tcBorders>
            <w:shd w:fill="CCEEFF" w:val="clear"/>
            <w:tcMar>
              <w:bottom w:w="50" w:type="dxa"/>
            </w:tcMar>
            <w:vAlign w:val="center"/>
          </w:tcPr>
          <w:p>
            <w:pPr>
              <w:pStyle w:val="TableContents"/>
              <w:bidi w:val="0"/>
              <w:spacing w:before="0" w:after="283"/>
              <w:jc w:val="right"/>
              <w:rPr/>
            </w:pPr>
            <w:r>
              <w:rPr/>
              <w:t>157,691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double" w:sz="8" w:space="0" w:color="000000"/>
            </w:tcBorders>
            <w:shd w:fill="CCEEFF" w:val="clear"/>
            <w:tcMar>
              <w:bottom w:w="50" w:type="dxa"/>
            </w:tcMar>
            <w:vAlign w:val="center"/>
          </w:tcPr>
          <w:p>
            <w:pPr>
              <w:pStyle w:val="TableContents"/>
              <w:bidi w:val="0"/>
              <w:spacing w:before="0" w:after="283"/>
              <w:jc w:val="right"/>
              <w:rPr/>
            </w:pPr>
            <w:r>
              <w:rPr/>
              <w:t>227,809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37" w:type="dxa"/>
            <w:tcBorders/>
            <w:tcMar>
              <w:bottom w:w="0" w:type="dxa"/>
            </w:tcMar>
            <w:vAlign w:val="center"/>
          </w:tcPr>
          <w:p>
            <w:pPr>
              <w:pStyle w:val="TableContents"/>
              <w:bidi w:val="0"/>
              <w:spacing w:before="0" w:after="283"/>
              <w:jc w:val="left"/>
              <w:rPr/>
            </w:pPr>
            <w:r>
              <w:rPr>
                <w:spacing w:val="-4"/>
              </w:rPr>
              <w:t>Presented as: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37" w:type="dxa"/>
            <w:tcBorders/>
            <w:shd w:fill="CCEEFF" w:val="clear"/>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16,731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67,339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3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Restricted cash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tcMar>
              <w:bottom w:w="50" w:type="dxa"/>
            </w:tcMar>
            <w:vAlign w:val="center"/>
          </w:tcPr>
          <w:p>
            <w:pPr>
              <w:pStyle w:val="TableContents"/>
              <w:bidi w:val="0"/>
              <w:spacing w:before="0" w:after="283"/>
              <w:jc w:val="right"/>
              <w:rPr/>
            </w:pPr>
            <w:r>
              <w:rPr/>
              <w:t>140,960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tcMar>
              <w:bottom w:w="50" w:type="dxa"/>
            </w:tcMar>
            <w:vAlign w:val="center"/>
          </w:tcPr>
          <w:p>
            <w:pPr>
              <w:pStyle w:val="TableContents"/>
              <w:bidi w:val="0"/>
              <w:spacing w:before="0" w:after="283"/>
              <w:jc w:val="right"/>
              <w:rPr/>
            </w:pPr>
            <w:r>
              <w:rPr/>
              <w:t>160,470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37" w:type="dxa"/>
            <w:tcBorders/>
            <w:shd w:fill="CCEEFF" w:val="clear"/>
            <w:tcMar>
              <w:bottom w:w="0" w:type="dxa"/>
            </w:tcMar>
            <w:vAlign w:val="center"/>
          </w:tcPr>
          <w:p>
            <w:pPr>
              <w:pStyle w:val="TableContents"/>
              <w:bidi w:val="0"/>
              <w:spacing w:before="0" w:after="0"/>
              <w:jc w:val="left"/>
              <w:rPr/>
            </w:pPr>
            <w:r>
              <w:rPr>
                <w:spacing w:val="-4"/>
              </w:rPr>
              <w:t>Cash and restricted cash at the end of the year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double" w:sz="8" w:space="0" w:color="000000"/>
            </w:tcBorders>
            <w:shd w:fill="CCEEFF" w:val="clear"/>
            <w:tcMar>
              <w:bottom w:w="50" w:type="dxa"/>
            </w:tcMar>
            <w:vAlign w:val="center"/>
          </w:tcPr>
          <w:p>
            <w:pPr>
              <w:pStyle w:val="TableContents"/>
              <w:bidi w:val="0"/>
              <w:spacing w:before="0" w:after="283"/>
              <w:jc w:val="right"/>
              <w:rPr/>
            </w:pPr>
            <w:r>
              <w:rPr/>
              <w:t>157,691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double" w:sz="8" w:space="0" w:color="000000"/>
            </w:tcBorders>
            <w:shd w:fill="CCEEFF" w:val="clear"/>
            <w:tcMar>
              <w:bottom w:w="50" w:type="dxa"/>
            </w:tcMar>
            <w:vAlign w:val="center"/>
          </w:tcPr>
          <w:p>
            <w:pPr>
              <w:pStyle w:val="TableContents"/>
              <w:bidi w:val="0"/>
              <w:spacing w:before="0" w:after="283"/>
              <w:jc w:val="right"/>
              <w:rPr/>
            </w:pPr>
            <w:r>
              <w:rPr/>
              <w:t>227,809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f1OO"/>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FINANCIAL STATEMENTS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YEARS ENDED JUNE 30, 2025 AND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NATURE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Oregon Energy LLC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Oregon</w:t>
      </w:r>
      <w:r>
        <w:rPr>
          <w:rFonts w:ascii="Times New Roman;Times;serif" w:hAnsi="Times New Roman;Times;serif"/>
          <w:b w:val="false"/>
          <w:i w:val="false"/>
          <w:caps w:val="false"/>
          <w:smallCaps w:val="false"/>
          <w:color w:val="000000"/>
          <w:spacing w:val="4"/>
          <w:sz w:val="20"/>
        </w:rPr>
        <w:t xml:space="preserve">”) is a limited liability company (“LLC”) formed on March 19, 2010 under the laws of the state of Oregon. The Company is engaged in uranium exploration, with operations registered in Colorado and Nevada on October 14, 2010, and Utah on April 18, 2011, to facilitate its business activities.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member-managed, with Aurora Energy Metals Limited (“Aurora”, formerly Aurora Uranium Limited and EVE Investments Limited), a publicly listed company on the Australian Securities Exchange (ASX:1AE), holding 100% of the membership interest. The 100% interest was originally held by Amaroo Resources Limited, a subsidiary of Aurora, and was transferred to Aurora on March 13, 2015 as a result of a corporate reorganization of Aurora. No consideration was transferred and there was no financial impact on the Company as a result of the reorganization. The Company is classified as a corporation for U.S. tax purposes but remains an LLC under Oregon state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2010, the Company acquired mining claims to explore and extract uranium and other valuable minerals (Aurora Uranium Project (“AUP”)), located in Malheur County, Oregon, approximately 16 kilometers northwest of McDermitt, Nevada. As of June 30, 2025, the Company holds 263 unpatented lode mining claims and 71 unpatented placer mining claims in the AUP along with 31 unpatented placer mining claims in Humboldt County, Nevada. As of June 30, 2024, the Company held 451 unpatented lode mining claims and 71 unpatented placer mining claims in the AUP along with 31 unpatented placer mining claims in Humboldt County, Nevada. These claims collectively cover an area of approximately 43 square kilometers.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Risks and Uncertainties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of global financial markets and a recession or market correction, including the ongoing military conflicts between Russia and Ukraine and the related sanctions imposed against Russia as well as the conflict between Israel and Hamas, the ongoing effects of the COVID-19 pandemic, the significant tariffs imposed by the United States on imports from other countries, and other global macroeconomic factors such as inflation and rising interest rates, could reduce the Company’s ability to access capital, which could in the future negatively affect the Company’s liquidity and could materially affect the Company’s business and the value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Basis of presentation</w:t>
      </w:r>
      <w:r>
        <w:rPr>
          <w:rFonts w:ascii="Times New Roman;Times;serif" w:hAnsi="Times New Roman;Times;serif"/>
          <w:b/>
          <w:i/>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82">
                <wp:simplePos x="0" y="0"/>
                <wp:positionH relativeFrom="column">
                  <wp:align>left</wp:align>
                </wp:positionH>
                <wp:positionV relativeFrom="line">
                  <wp:align>top</wp:align>
                </wp:positionV>
                <wp:extent cx="254000" cy="350520"/>
                <wp:effectExtent l="0" t="0" r="0" b="0"/>
                <wp:wrapSquare wrapText="right"/>
                <wp:docPr id="380" name="Frame3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4"/>
                              </w:rPr>
                              <w:t>(a)</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4"/>
                        </w:rPr>
                        <w:t>(a)</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financial statements are presented using the accrual basis of accounting in accordance with accounting principles generally accepted in the United States of America (“U.S. GAAP”). References to the “ASC” hereafter refer to the Accounting Standards Codification established by the Financial Accounting Standards Board (“FASB”) as the source of authoritative U.S. GAAP. </w:t>
      </w:r>
    </w:p>
    <w:p>
      <w:pPr>
        <w:pStyle w:val="TextBody"/>
        <w:bidi w:val="0"/>
        <w:spacing w:lineRule="atLeast" w:line="240" w:before="238" w:after="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Going concern</w:t>
      </w:r>
      <w:r>
        <w:rPr>
          <w:rFonts w:ascii="Times New Roman;Times;serif" w:hAnsi="Times New Roman;Times;serif"/>
          <w:b/>
          <w:i/>
          <w:caps w:val="false"/>
          <w:smallCaps w:val="false"/>
          <w:color w:val="000000"/>
          <w:spacing w:val="4"/>
          <w:sz w:val="20"/>
        </w:rPr>
        <w:t xml:space="preserve"> </w:t>
      </w:r>
      <w:r>
        <mc:AlternateContent>
          <mc:Choice Requires="wps">
            <w:drawing>
              <wp:anchor behindDoc="0" distT="151130" distB="0" distL="0" distR="0" simplePos="0" locked="0" layoutInCell="1" allowOverlap="1" relativeHeight="383">
                <wp:simplePos x="0" y="0"/>
                <wp:positionH relativeFrom="column">
                  <wp:align>left</wp:align>
                </wp:positionH>
                <wp:positionV relativeFrom="line">
                  <wp:align>top</wp:align>
                </wp:positionV>
                <wp:extent cx="254000" cy="350520"/>
                <wp:effectExtent l="0" t="0" r="0" b="0"/>
                <wp:wrapSquare wrapText="right"/>
                <wp:docPr id="381" name="Frame3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4"/>
                              </w:rPr>
                              <w:t>(b)</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4"/>
                        </w:rPr>
                        <w:t>(b)</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have been prepared on a going concern basis, which contemplates the realization of assets and the settlement of liabilities and commitments in the normal course of business. During the year ended June 30, 2025, the Company recorded a net loss of $153,783 (June 30, 2024 — $773,772) and as of June 30, 2025 had an accumulated deficit of $13,449,504.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factors raise doubt about the Company’s ability to continue as a going concern within one year after the date of the financial statements being issued. The ability of the Company to continue as a going concern is dependent upon the Company’s ability to raise additional funds and implement its business plan. The financial statements do not include any adjustments that might be necessary if the Company is unable to continue as a going concern. Such adjustments could be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FINANCIAL STATEMENTS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YEARS ENDED JUNE 30,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2025, the Company had cash in the amount of $16,731 (June 30, 2024 — $67,339). The continuation of the Company as a going concern is dependent upon its ability to obtain necessary debt or equity financing to continue operations until it begins generating positive cash flow. 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membership interest, in the case or equity financing. </w:t>
      </w:r>
    </w:p>
    <w:p>
      <w:pPr>
        <w:pStyle w:val="TextBody"/>
        <w:bidi w:val="0"/>
        <w:spacing w:lineRule="atLeast" w:line="240" w:before="240" w:after="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Functional and presentation currencies</w:t>
      </w:r>
      <w:r>
        <w:rPr>
          <w:rFonts w:ascii="Times New Roman;Times;serif" w:hAnsi="Times New Roman;Times;serif"/>
          <w:b/>
          <w:i/>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84">
                <wp:simplePos x="0" y="0"/>
                <wp:positionH relativeFrom="column">
                  <wp:align>left</wp:align>
                </wp:positionH>
                <wp:positionV relativeFrom="line">
                  <wp:align>top</wp:align>
                </wp:positionV>
                <wp:extent cx="254000" cy="350520"/>
                <wp:effectExtent l="0" t="0" r="0" b="0"/>
                <wp:wrapSquare wrapText="right"/>
                <wp:docPr id="382" name="Frame3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4"/>
                              </w:rPr>
                              <w:t>(c)</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4"/>
                        </w:rPr>
                        <w:t>(c)</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the Company are presented in United States dollars, which is the functional currency of the Company. </w:t>
      </w:r>
    </w:p>
    <w:p>
      <w:pPr>
        <w:pStyle w:val="TextBody"/>
        <w:bidi w:val="0"/>
        <w:spacing w:lineRule="atLeast" w:line="240" w:before="240" w:after="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Use of estimates and judgments</w:t>
      </w:r>
      <w:r>
        <w:rPr>
          <w:rFonts w:ascii="Times New Roman;Times;serif" w:hAnsi="Times New Roman;Times;serif"/>
          <w:b/>
          <w:i/>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85">
                <wp:simplePos x="0" y="0"/>
                <wp:positionH relativeFrom="column">
                  <wp:align>left</wp:align>
                </wp:positionH>
                <wp:positionV relativeFrom="line">
                  <wp:align>top</wp:align>
                </wp:positionV>
                <wp:extent cx="254000" cy="350520"/>
                <wp:effectExtent l="0" t="0" r="0" b="0"/>
                <wp:wrapSquare wrapText="right"/>
                <wp:docPr id="383" name="Frame3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4"/>
                              </w:rPr>
                              <w:t>(d)</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4"/>
                        </w:rPr>
                        <w:t>(d)</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financial statements in conformity with U.S. GAAP requires the Company’s management to make judgments, estimates and assumptions, about future events that may impact the amounts reported in the financial statements. Actual results may differ from these estimates. Estimates and underlying assumptions are reviewed on an ongoing basis. Revisions to estimates are made prospectively.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Key estimates made by management with respect to the areas noted have been disclosed in the notes to these financial statements (see Note 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SUMMARY OF SIGNIFICANT ACCOUNTING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Cash and cash equivalents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86">
                <wp:simplePos x="0" y="0"/>
                <wp:positionH relativeFrom="column">
                  <wp:align>left</wp:align>
                </wp:positionH>
                <wp:positionV relativeFrom="line">
                  <wp:align>top</wp:align>
                </wp:positionV>
                <wp:extent cx="254000" cy="350520"/>
                <wp:effectExtent l="0" t="0" r="0" b="0"/>
                <wp:wrapSquare wrapText="right"/>
                <wp:docPr id="384" name="Frame3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include cash on hand, deposits held with banks, and when applicable, short-term, highly liquid deposits which are either cashable or with original maturities of less than three months. There are no cash equivalents as of June 30, 2025 and 2024.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Restricted cash</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87">
                <wp:simplePos x="0" y="0"/>
                <wp:positionH relativeFrom="column">
                  <wp:align>left</wp:align>
                </wp:positionH>
                <wp:positionV relativeFrom="line">
                  <wp:align>top</wp:align>
                </wp:positionV>
                <wp:extent cx="254000" cy="350520"/>
                <wp:effectExtent l="0" t="0" r="0" b="0"/>
                <wp:wrapSquare wrapText="right"/>
                <wp:docPr id="385" name="Frame3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b)</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b)</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cash includes exploration bonds to the Oregon Department of Geology and Mineral Industries (“DOGAMI”) and Bureau of Land Management (“BLM”) relating to estimated reclamation costs for the exploration activities. The restricted cash will be released when the Company has reclaimed a mineral property, or restructured the surety and collateral arrangements.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Property, plant, and equipment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88">
                <wp:simplePos x="0" y="0"/>
                <wp:positionH relativeFrom="column">
                  <wp:align>left</wp:align>
                </wp:positionH>
                <wp:positionV relativeFrom="line">
                  <wp:align>top</wp:align>
                </wp:positionV>
                <wp:extent cx="254000" cy="350520"/>
                <wp:effectExtent l="0" t="0" r="0" b="0"/>
                <wp:wrapSquare wrapText="right"/>
                <wp:docPr id="386" name="Frame3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c)</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c)</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and equipment are stated at cost, net of accumulated depreciation. Depreciation is computed using the straight-line method over the estimated useful lives of the respective assets. Land is not depreciated. Depreciable assets retired or sold are removed from the accounts and any resulting gain or loss is reflected in operating results for the period. Major replacements or betterments are capitalized while maintenance and repairs are expensed as incurred. The estimated useful lives of the classes of property and equipment are as follows: </w:t>
      </w:r>
    </w:p>
    <w:tbl>
      <w:tblPr>
        <w:tblW w:w="4862" w:type="dxa"/>
        <w:jc w:val="left"/>
        <w:tblInd w:w="1393" w:type="dxa"/>
        <w:tblLayout w:type="fixed"/>
        <w:tblCellMar>
          <w:top w:w="0" w:type="dxa"/>
          <w:left w:w="0" w:type="dxa"/>
          <w:bottom w:w="50" w:type="dxa"/>
          <w:right w:w="0" w:type="dxa"/>
        </w:tblCellMar>
      </w:tblPr>
      <w:tblGrid>
        <w:gridCol w:w="2578"/>
        <w:gridCol w:w="109"/>
        <w:gridCol w:w="109"/>
        <w:gridCol w:w="1912"/>
        <w:gridCol w:w="154"/>
      </w:tblGrid>
      <w:tr>
        <w:trPr/>
        <w:tc>
          <w:tcPr>
            <w:tcW w:w="2578" w:type="dxa"/>
            <w:tcBorders>
              <w:bottom w:val="single" w:sz="2" w:space="0" w:color="000000"/>
            </w:tcBorders>
            <w:vAlign w:val="center"/>
          </w:tcPr>
          <w:p>
            <w:pPr>
              <w:pStyle w:val="TableContents"/>
              <w:bidi w:val="0"/>
              <w:spacing w:before="0" w:after="0"/>
              <w:jc w:val="left"/>
              <w:rPr>
                <w:spacing w:val="-3"/>
              </w:rPr>
            </w:pPr>
            <w:r>
              <w:rPr>
                <w:spacing w:val="-3"/>
              </w:rPr>
              <w:t xml:space="preserve">Asset classes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12" w:type="dxa"/>
            <w:tcBorders>
              <w:bottom w:val="single" w:sz="2" w:space="0" w:color="000000"/>
            </w:tcBorders>
            <w:vAlign w:val="center"/>
          </w:tcPr>
          <w:p>
            <w:pPr>
              <w:pStyle w:val="TableContents"/>
              <w:bidi w:val="0"/>
              <w:spacing w:before="0" w:after="0"/>
              <w:jc w:val="center"/>
              <w:rPr>
                <w:spacing w:val="-3"/>
              </w:rPr>
            </w:pPr>
            <w:r>
              <w:rPr>
                <w:spacing w:val="-3"/>
              </w:rPr>
              <w:t xml:space="preserve">Useful life in years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78" w:type="dxa"/>
            <w:tcBorders/>
            <w:shd w:fill="CCEEFF" w:val="clear"/>
            <w:tcMar>
              <w:bottom w:w="0" w:type="dxa"/>
            </w:tcMar>
            <w:vAlign w:val="center"/>
          </w:tcPr>
          <w:p>
            <w:pPr>
              <w:pStyle w:val="TableContents"/>
              <w:bidi w:val="0"/>
              <w:spacing w:before="0" w:after="0"/>
              <w:jc w:val="left"/>
              <w:rPr>
                <w:spacing w:val="4"/>
              </w:rPr>
            </w:pPr>
            <w:r>
              <w:rPr>
                <w:spacing w:val="4"/>
              </w:rPr>
              <w:t xml:space="preserve">Buildings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2" w:type="dxa"/>
            <w:tcBorders/>
            <w:shd w:fill="CCEEFF" w:val="clear"/>
            <w:tcMar>
              <w:bottom w:w="0" w:type="dxa"/>
            </w:tcMar>
            <w:vAlign w:val="center"/>
          </w:tcPr>
          <w:p>
            <w:pPr>
              <w:pStyle w:val="TableContents"/>
              <w:bidi w:val="0"/>
              <w:spacing w:before="0" w:after="0"/>
              <w:jc w:val="center"/>
              <w:rPr>
                <w:spacing w:val="4"/>
              </w:rPr>
            </w:pPr>
            <w:r>
              <w:rPr>
                <w:spacing w:val="4"/>
              </w:rPr>
              <w:t xml:space="preserve">20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78" w:type="dxa"/>
            <w:tcBorders/>
            <w:tcMar>
              <w:bottom w:w="0" w:type="dxa"/>
            </w:tcMar>
            <w:vAlign w:val="center"/>
          </w:tcPr>
          <w:p>
            <w:pPr>
              <w:pStyle w:val="TableContents"/>
              <w:bidi w:val="0"/>
              <w:spacing w:before="0" w:after="0"/>
              <w:jc w:val="left"/>
              <w:rPr>
                <w:spacing w:val="4"/>
              </w:rPr>
            </w:pPr>
            <w:r>
              <w:rPr>
                <w:spacing w:val="4"/>
              </w:rPr>
              <w:t xml:space="preserve">Furniture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2" w:type="dxa"/>
            <w:tcBorders/>
            <w:tcMar>
              <w:bottom w:w="0" w:type="dxa"/>
            </w:tcMar>
            <w:vAlign w:val="center"/>
          </w:tcPr>
          <w:p>
            <w:pPr>
              <w:pStyle w:val="TableContents"/>
              <w:bidi w:val="0"/>
              <w:spacing w:before="0" w:after="0"/>
              <w:jc w:val="center"/>
              <w:rPr>
                <w:spacing w:val="4"/>
              </w:rPr>
            </w:pPr>
            <w:r>
              <w:rPr>
                <w:spacing w:val="4"/>
              </w:rPr>
              <w:t xml:space="preserve">4 to 5 </w:t>
            </w:r>
          </w:p>
        </w:tc>
        <w:tc>
          <w:tcPr>
            <w:tcW w:w="154" w:type="dxa"/>
            <w:tcBorders/>
            <w:tcMar>
              <w:bottom w:w="0" w:type="dxa"/>
            </w:tcMar>
            <w:vAlign w:val="center"/>
          </w:tcPr>
          <w:p>
            <w:pPr>
              <w:pStyle w:val="TableContents"/>
              <w:bidi w:val="0"/>
              <w:spacing w:before="0" w:after="283"/>
              <w:jc w:val="left"/>
              <w:rPr/>
            </w:pPr>
            <w:r>
              <w:rPr/>
              <w:t>​</w:t>
            </w:r>
          </w:p>
        </w:tc>
      </w:tr>
      <w:tr>
        <w:trPr/>
        <w:tc>
          <w:tcPr>
            <w:tcW w:w="2578" w:type="dxa"/>
            <w:tcBorders/>
            <w:shd w:fill="CCEEFF" w:val="clear"/>
            <w:tcMar>
              <w:bottom w:w="0" w:type="dxa"/>
            </w:tcMar>
            <w:vAlign w:val="center"/>
          </w:tcPr>
          <w:p>
            <w:pPr>
              <w:pStyle w:val="TableContents"/>
              <w:bidi w:val="0"/>
              <w:spacing w:before="0" w:after="0"/>
              <w:jc w:val="left"/>
              <w:rPr>
                <w:spacing w:val="4"/>
              </w:rPr>
            </w:pPr>
            <w:r>
              <w:rPr>
                <w:spacing w:val="4"/>
              </w:rPr>
              <w:t xml:space="preserve">Moveable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2" w:type="dxa"/>
            <w:tcBorders/>
            <w:shd w:fill="CCEEFF" w:val="clear"/>
            <w:tcMar>
              <w:bottom w:w="0" w:type="dxa"/>
            </w:tcMar>
            <w:vAlign w:val="center"/>
          </w:tcPr>
          <w:p>
            <w:pPr>
              <w:pStyle w:val="TableContents"/>
              <w:bidi w:val="0"/>
              <w:spacing w:before="0" w:after="0"/>
              <w:jc w:val="center"/>
              <w:rPr>
                <w:spacing w:val="4"/>
              </w:rPr>
            </w:pPr>
            <w:r>
              <w:rPr>
                <w:spacing w:val="4"/>
              </w:rPr>
              <w:t xml:space="preserve">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78" w:type="dxa"/>
            <w:tcBorders/>
            <w:tcMar>
              <w:bottom w:w="0" w:type="dxa"/>
            </w:tcMar>
            <w:vAlign w:val="center"/>
          </w:tcPr>
          <w:p>
            <w:pPr>
              <w:pStyle w:val="TableContents"/>
              <w:bidi w:val="0"/>
              <w:spacing w:before="0" w:after="0"/>
              <w:jc w:val="left"/>
              <w:rPr>
                <w:spacing w:val="4"/>
              </w:rPr>
            </w:pPr>
            <w:r>
              <w:rPr>
                <w:spacing w:val="4"/>
              </w:rPr>
              <w:t xml:space="preserve">Other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2" w:type="dxa"/>
            <w:tcBorders/>
            <w:tcMar>
              <w:bottom w:w="0" w:type="dxa"/>
            </w:tcMar>
            <w:vAlign w:val="center"/>
          </w:tcPr>
          <w:p>
            <w:pPr>
              <w:pStyle w:val="TableContents"/>
              <w:bidi w:val="0"/>
              <w:spacing w:before="0" w:after="0"/>
              <w:jc w:val="center"/>
              <w:rPr/>
            </w:pPr>
            <w:r>
              <w:rPr>
                <w:spacing w:val="4"/>
              </w:rPr>
              <w:t>5</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FINANCIAL STATEMENTS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YEARS ENDED JUNE 30,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the useful lives of assets is evaluated upon acquisition and when circumstances indicate that a change in the useful life has occurred, which requires significant judgment regarding the economic obsolescence of assets.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Mineral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389">
                <wp:simplePos x="0" y="0"/>
                <wp:positionH relativeFrom="column">
                  <wp:align>left</wp:align>
                </wp:positionH>
                <wp:positionV relativeFrom="line">
                  <wp:align>top</wp:align>
                </wp:positionV>
                <wp:extent cx="254000" cy="350520"/>
                <wp:effectExtent l="0" t="0" r="0" b="0"/>
                <wp:wrapSquare wrapText="right"/>
                <wp:docPr id="387" name="Frame3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d)</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d)</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of exploration, carrying and retaining unproven mineral rights and properties are expensed as incurred. The Company expenses all mineral exploration costs as incurred as it is still in the exploration stage. If the Company identifies proven and probable reserves in its investigation of its properties and upon development of a plan for operating a mine, it will enter the development stage and capitalize future costs until production is established. When a property reaches the production stage, the related capitalized costs are amortized on a units-of-production basis over the proven and probable reserves following the commencement of production.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date, the Company has not established the commercial feasibility of any exploration prospects; therefore, all exploration costs are being expensed.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ASC 930-805, “Extractive Activities-Mining: Business Combinations” states that mineral rights comprise the legal right to explore, extract, and retain at least a portion of the benefits from mineral deposits. Mining assets include mineral rights and properties which are considered tangible assets under ASC 930-805. Further, ASC 930-805 requires that mineral assets or rights be recognized at fair value as of the acquisition date. As a result, the direct costs to acquire mineral rights and properties are initially capitalized as tangible assets. Mineral rights and properties include costs associated with acquiring patented and unpatented mining claims.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years ended June 30, 2025 and 2024, the Company has not incurred any acquisition costs for mineral rights or properties.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Impairment of long-lived assets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90">
                <wp:simplePos x="0" y="0"/>
                <wp:positionH relativeFrom="column">
                  <wp:align>left</wp:align>
                </wp:positionH>
                <wp:positionV relativeFrom="line">
                  <wp:align>top</wp:align>
                </wp:positionV>
                <wp:extent cx="254000" cy="350520"/>
                <wp:effectExtent l="0" t="0" r="0" b="0"/>
                <wp:wrapSquare wrapText="right"/>
                <wp:docPr id="388" name="Frame3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e)</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e)</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Long-lived assets or asset groups held and used by the Company are reviewed for possible impairment whenever events or circumstances indicate the carrying amount of an asset may not be recoverable or is impaired. Circumstances that could trigger a review include, but are not limited to: significant decreases in the market price of the assets; significant adverse changes in the business climate or legal factors; accumulation of costs significantly in excess of the amount originally expected for the acquisition or construction of the assets; current period cash flow or operating losses combined with a history of losses or a forecast of continuing losses associated with the use of the assets; and current expectation that the assets will more likely than not be sold or disposed significantly before the end of their estimated useful life.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indicators of potential impairment are present the Company prepares a projected undiscounted cash flow analysis for the respective asset or asset group. If the sum of the undiscounted cash flows is less than the carrying value of the asset or asset group, an impairment loss is recognized equal to the excess of the carrying value over the fair value, if any. Fair value can be determined using discounted cash flows of future operating results based upon a rate that corresponds to the cost of capital. Recognized impairment losses are not reversed. There were no impairment losses for the years ended June 30, 2025 and 2024.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instruments measurements and fair value of financial instruments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91">
                <wp:simplePos x="0" y="0"/>
                <wp:positionH relativeFrom="column">
                  <wp:align>left</wp:align>
                </wp:positionH>
                <wp:positionV relativeFrom="line">
                  <wp:align>top</wp:align>
                </wp:positionV>
                <wp:extent cx="254000" cy="350520"/>
                <wp:effectExtent l="0" t="0" r="0" b="0"/>
                <wp:wrapSquare wrapText="right"/>
                <wp:docPr id="389" name="Frame3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f)</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f)</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instrument is any contract that gives rise to a financial asset of one entity and a financial liability or equity instrument of another entity.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classified and measured at fair value with subsequent changes in fair value recognized in either profit and loss as they arise unless restrictive criteria are met for classifying and measuring the asset at either amortized cost or fair value through other comprehensive income. Financial liabilities are measured at amortized costs unless they are elected to be or required to be measured at fair value through profit and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FINANCIAL STATEMENTS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YEARS ENDED JUNE 30,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derecognized when the rights to receive cash flows from the assets have expired or have been transferred, and the Company has transferred all risks and rewards of ownership. Financial liabilities are derecognized when the obligations specified in the contract are discharged, cancelled, or expire.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ASC 820, “Fair Value Measurements and Disclosures”,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ASC 820 establishes a three-tier fair value hierarchy that distinguishes between the following, based on the nature of the valuation inputs: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1:   quoted prices (unadjusted) for identical assets or liabilities in active markets; </w:t>
      </w:r>
      <w:r>
        <mc:AlternateContent>
          <mc:Choice Requires="wps">
            <w:drawing>
              <wp:anchor behindDoc="0" distT="7239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90"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2:   inputs other than quoted prices included within Level 1 that are observable for the asset or liability, either directly or indirectly; and, </w:t>
      </w:r>
      <w:r>
        <mc:AlternateContent>
          <mc:Choice Requires="wps">
            <w:drawing>
              <wp:anchor behindDoc="0" distT="7239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91"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3:   one or more significant inputs used in a valuation technique are unobservable in determining fair values of the asset or liability. </w:t>
      </w:r>
      <w:r>
        <mc:AlternateContent>
          <mc:Choice Requires="wps">
            <w:drawing>
              <wp:anchor behindDoc="0" distT="7239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92"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Determination of fair value and the resulting hierarchy requires the use of observable market data where available. The classification of an asset or liability in the hierarchy is based on the lowest level of input that is significant to the fair value measurement.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Income taxes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95">
                <wp:simplePos x="0" y="0"/>
                <wp:positionH relativeFrom="column">
                  <wp:align>left</wp:align>
                </wp:positionH>
                <wp:positionV relativeFrom="line">
                  <wp:align>top</wp:align>
                </wp:positionV>
                <wp:extent cx="254000" cy="350520"/>
                <wp:effectExtent l="0" t="0" r="0" b="0"/>
                <wp:wrapSquare wrapText="right"/>
                <wp:docPr id="393" name="Frame3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g)</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g)</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tax provision consists of taxes currently payable or receivable, plus any change during the period in deferred tax assets and liabilities. The Company uses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operating results of the period that includes the enactment date. In addition, a valuation allowance is established to reduce any deferred tax asset for which it is determined that is it more likely than not that some portion of the deferred tax asset will not be realized.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ordinary course of business, there are many transactions and calculations for which the ultimate tax determination is uncertain. Accounting for income taxes requires a two-step approach to recognizing and measuring uncertain tax positions. The first step is to evaluate the tax position for recognition by determining if available evidence indicates it is more likely than not that the tax position will be fully sustained upon review by taxing authorities, including resolution of related appeals or litigation processes, if any. The second step is to measure the tax benefit as the largest amount with a greater than 50 percent likelihood of being realized upon ultimate settlement. For tax positions that are 50 percent or less likely of being sustained upon audit, the Company does not recognize any portion of that benefit in the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FINANCIAL STATEMENTS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YEARS ENDED JUNE 30,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The Company is not aware of any issues under review that could result in significant payments, accruals or a material deviation from its position. The Company is subject to income tax examinations by taxing authorities for the fiscal years 2022 – 2025.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96">
                <wp:simplePos x="0" y="0"/>
                <wp:positionH relativeFrom="column">
                  <wp:align>left</wp:align>
                </wp:positionH>
                <wp:positionV relativeFrom="line">
                  <wp:align>top</wp:align>
                </wp:positionV>
                <wp:extent cx="254000" cy="350520"/>
                <wp:effectExtent l="0" t="0" r="0" b="0"/>
                <wp:wrapSquare wrapText="right"/>
                <wp:docPr id="394" name="Frame3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h)</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h)</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identifies and discloses all related party transactions. Parties, which can be a corporation or individual, are considered to be related if the Company has the ability, directly or indirectly, to control the other party or exercise significant influence over the other party in making financial and operational decisions. Companies are also considered to be related if they are subject to common control or common significant influence.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Segment reporting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97">
                <wp:simplePos x="0" y="0"/>
                <wp:positionH relativeFrom="column">
                  <wp:align>left</wp:align>
                </wp:positionH>
                <wp:positionV relativeFrom="line">
                  <wp:align>top</wp:align>
                </wp:positionV>
                <wp:extent cx="254000" cy="350520"/>
                <wp:effectExtent l="0" t="0" r="0" b="0"/>
                <wp:wrapSquare wrapText="right"/>
                <wp:docPr id="395" name="Frame3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i)</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i)</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ASC 280, “Segment Reporting”, establishes standards for the way that public business enterprises report information about operating segments in their annual financial statements and requires that those enterprises report selected information about operating segments in interim financial reports. ASC 280 also establishes standards for related disclosures about products and services, geographic areas, and major customers. The Company’s business segments are based on the organization structure used by the chief operating decision maker for making operating and investment decisions and for assessing performance. Our Chief Executive Officer, who is our chief operating decision maker, views the Company’s operations and manages its business in one operating segment, which is principally the exploration and extraction of uranium and other valuable minerals.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ASU 2023-07, “Improvements to Reportable Segment Disclosures”, effective for fiscal years beginning after December 15, 2023, enhances reporting requirements under ASC 280, including disclosures on the use of significant segments and segment profit or loss by the chief operation decision maker, and disclosures on other segment items.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Chief Executive Officer reviews the Company’s performance solely on the basis of U.S. GAAP financial results, which represent the sole measure of segment profit or loss. Non-U.S. GAAP or alternative measures are not used for performance assessment, nor is any discrete or significant segment expense categories reviewed apart from those presented in the financial statements. As such, no reconciliation to totals is necessary, and there are no additional segment expense disclosures as required under ASU 2023-07.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Recent accounting pronouncements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398">
                <wp:simplePos x="0" y="0"/>
                <wp:positionH relativeFrom="column">
                  <wp:align>left</wp:align>
                </wp:positionH>
                <wp:positionV relativeFrom="line">
                  <wp:align>top</wp:align>
                </wp:positionV>
                <wp:extent cx="254000" cy="350520"/>
                <wp:effectExtent l="0" t="0" r="0" b="0"/>
                <wp:wrapSquare wrapText="right"/>
                <wp:docPr id="396" name="Frame3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j)</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j)</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does not believe that any recently issued, but not yet effective, accounting standards could have a material effect on the accompanying financial statements. As new accounting pronouncements are issued, the Company will adopt those that are applicable under the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RECLAMATION AND ENVIRONMENTAL OBLIGATION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Reclamation and environmental costs are based principally on legal requirements. Management estimates the cost associated with reclamation of land to its original state before drilling or exploration of mineral rights occurred. On an ongoing basis the Company evaluates its estimates and assumptions; however, actual amounts could differ from those based on estimates and assumptions.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posted several cash bonds as financial security to satisfy reclamation requirements. As of June 30, 2025, the Company has restricted cash totaling $140,960 (June 30, 2024 — $160,470), held as financial guarantees through bonds posted with the BLM and DOGAMI. These funds serve as security for potential future reclamation obligations for mineral exploration activities. During the year ended June 30, 2025, the Company received refunds of $19,510 from the BLM as part of a reduction of cash bonds, as the Company was deemed to have fulfilled part of its reclamation obligations. The refunds resulted in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FINANCIAL STATEMENTS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YEARS ENDED JUNE 30,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5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reclassification from restricted cash to cash. Other remaining cash bonds are retained by the BLM and DOGAMI until revegetation was deemed successful by the BLM and DOGAMI.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cash bonds posted with BLM and DOGAMI were estimated to be sufficient for full satisfaction of the Company’s reclamation obligations, the Company had estimated the undiscounted reclamation costs for its mineral exploration activities required by the BLM and DOGAMI to be $160,470 at initial recognition during the year ended June 30, 2023. These costs were expected to be incurred in the fiscal years of 2023 to 2025. The expected costs were recognized at the amounts of cash bonds required by the BLM and DOGAMI, as the majority of such costs were expected to be settled during the year ended June 30, 2023.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Increases in reclamation and environmental obligation associated with the exploration activities of the Company are not capitalized to mineral rights (Note 6), as only acquisition costs are capitalizable in accordance with ASC 930.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the Company’s reclamation and environmental obligation for the years ended June 30, 2025 and 2024 are as follows: </w:t>
      </w:r>
    </w:p>
    <w:tbl>
      <w:tblPr>
        <w:tblW w:w="6162" w:type="dxa"/>
        <w:jc w:val="left"/>
        <w:tblInd w:w="1393" w:type="dxa"/>
        <w:tblLayout w:type="fixed"/>
        <w:tblCellMar>
          <w:top w:w="0" w:type="dxa"/>
          <w:left w:w="0" w:type="dxa"/>
          <w:bottom w:w="28" w:type="dxa"/>
          <w:right w:w="0" w:type="dxa"/>
        </w:tblCellMar>
      </w:tblPr>
      <w:tblGrid>
        <w:gridCol w:w="2972"/>
        <w:gridCol w:w="109"/>
        <w:gridCol w:w="109"/>
        <w:gridCol w:w="109"/>
        <w:gridCol w:w="226"/>
        <w:gridCol w:w="796"/>
        <w:gridCol w:w="109"/>
        <w:gridCol w:w="109"/>
        <w:gridCol w:w="109"/>
        <w:gridCol w:w="109"/>
        <w:gridCol w:w="226"/>
        <w:gridCol w:w="916"/>
        <w:gridCol w:w="109"/>
        <w:gridCol w:w="154"/>
      </w:tblGrid>
      <w:tr>
        <w:trPr/>
        <w:tc>
          <w:tcPr>
            <w:tcW w:w="297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72" w:type="dxa"/>
            <w:tcBorders/>
            <w:shd w:fill="CCEEFF" w:val="clear"/>
            <w:tcMar>
              <w:bottom w:w="0" w:type="dxa"/>
            </w:tcMar>
            <w:vAlign w:val="center"/>
          </w:tcPr>
          <w:p>
            <w:pPr>
              <w:pStyle w:val="TableContents"/>
              <w:bidi w:val="0"/>
              <w:spacing w:before="0" w:after="0"/>
              <w:jc w:val="left"/>
              <w:rPr>
                <w:spacing w:val="4"/>
              </w:rPr>
            </w:pPr>
            <w:r>
              <w:rPr>
                <w:spacing w:val="4"/>
              </w:rPr>
              <w:t xml:space="preserve">Balance at beginning of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16,628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7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Settlement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(2,000)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(14,428)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72" w:type="dxa"/>
            <w:tcBorders/>
            <w:shd w:fill="CCEEFF" w:val="clear"/>
            <w:tcMar>
              <w:bottom w:w="0" w:type="dxa"/>
            </w:tcMar>
            <w:vAlign w:val="center"/>
          </w:tcPr>
          <w:p>
            <w:pPr>
              <w:pStyle w:val="TableContents"/>
              <w:bidi w:val="0"/>
              <w:spacing w:before="0" w:after="0"/>
              <w:jc w:val="left"/>
              <w:rPr>
                <w:b w:val="false"/>
                <w:spacing w:val="4"/>
              </w:rPr>
            </w:pPr>
            <w:r>
              <w:rPr>
                <w:b w:val="false"/>
                <w:spacing w:val="4"/>
              </w:rPr>
              <w:t xml:space="preserve">Balance at end of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comprise the following as of June 30, 2025 and 2024: </w:t>
      </w:r>
    </w:p>
    <w:tbl>
      <w:tblPr>
        <w:tblW w:w="8812" w:type="dxa"/>
        <w:jc w:val="left"/>
        <w:tblInd w:w="1393" w:type="dxa"/>
        <w:tblLayout w:type="fixed"/>
        <w:tblCellMar>
          <w:top w:w="0" w:type="dxa"/>
          <w:left w:w="0" w:type="dxa"/>
          <w:bottom w:w="28" w:type="dxa"/>
          <w:right w:w="0" w:type="dxa"/>
        </w:tblCellMar>
      </w:tblPr>
      <w:tblGrid>
        <w:gridCol w:w="1396"/>
        <w:gridCol w:w="109"/>
        <w:gridCol w:w="109"/>
        <w:gridCol w:w="109"/>
        <w:gridCol w:w="226"/>
        <w:gridCol w:w="886"/>
        <w:gridCol w:w="109"/>
        <w:gridCol w:w="109"/>
        <w:gridCol w:w="109"/>
        <w:gridCol w:w="109"/>
        <w:gridCol w:w="226"/>
        <w:gridCol w:w="646"/>
        <w:gridCol w:w="109"/>
        <w:gridCol w:w="109"/>
        <w:gridCol w:w="109"/>
        <w:gridCol w:w="109"/>
        <w:gridCol w:w="226"/>
        <w:gridCol w:w="766"/>
        <w:gridCol w:w="109"/>
        <w:gridCol w:w="109"/>
        <w:gridCol w:w="109"/>
        <w:gridCol w:w="109"/>
        <w:gridCol w:w="226"/>
        <w:gridCol w:w="766"/>
        <w:gridCol w:w="109"/>
        <w:gridCol w:w="109"/>
        <w:gridCol w:w="109"/>
        <w:gridCol w:w="109"/>
        <w:gridCol w:w="226"/>
        <w:gridCol w:w="886"/>
        <w:gridCol w:w="109"/>
        <w:gridCol w:w="156"/>
      </w:tblGrid>
      <w:tr>
        <w:trPr/>
        <w:tc>
          <w:tcPr>
            <w:tcW w:w="13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Land and</w:t>
            </w:r>
            <w:r>
              <w:rPr/>
              <w:t xml:space="preserve"> </w:t>
              <w:br/>
            </w:r>
            <w:r>
              <w:rPr>
                <w:spacing w:val="-3"/>
              </w:rPr>
              <w:t xml:space="preserve">buildings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Furniture </w:t>
            </w:r>
            <w:r>
              <w:rPr/>
              <w:br/>
            </w:r>
            <w:r>
              <w:rPr>
                <w:spacing w:val="-3"/>
              </w:rPr>
              <w:t>and</w:t>
            </w:r>
            <w:r>
              <w:rPr/>
              <w:t xml:space="preserve"> </w:t>
              <w:br/>
            </w:r>
            <w:r>
              <w:rPr>
                <w:spacing w:val="-3"/>
              </w:rPr>
              <w:t xml:space="preserve">equipment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Moveable</w:t>
            </w:r>
            <w:r>
              <w:rPr/>
              <w:t xml:space="preserve"> </w:t>
              <w:br/>
            </w:r>
            <w:r>
              <w:rPr>
                <w:spacing w:val="-3"/>
              </w:rPr>
              <w:t xml:space="preserve">equipment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Other</w:t>
            </w:r>
            <w:r>
              <w:rPr/>
              <w:t xml:space="preserve"> </w:t>
              <w:br/>
            </w:r>
            <w:r>
              <w:rPr>
                <w:spacing w:val="-3"/>
              </w:rPr>
              <w:t xml:space="preserve">equipment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396" w:type="dxa"/>
            <w:tcBorders/>
            <w:shd w:fill="CCEEFF" w:val="clear"/>
            <w:tcMar>
              <w:bottom w:w="0" w:type="dxa"/>
            </w:tcMar>
            <w:vAlign w:val="center"/>
          </w:tcPr>
          <w:p>
            <w:pPr>
              <w:pStyle w:val="TableContents"/>
              <w:bidi w:val="0"/>
              <w:spacing w:before="0" w:after="283"/>
              <w:jc w:val="left"/>
              <w:rPr/>
            </w:pPr>
            <w:r>
              <w:rPr>
                <w:spacing w:val="-4"/>
              </w:rPr>
              <w:t>Cost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396" w:type="dxa"/>
            <w:tcBorders/>
            <w:tcMar>
              <w:bottom w:w="0" w:type="dxa"/>
            </w:tcMar>
            <w:vAlign w:val="center"/>
          </w:tcPr>
          <w:p>
            <w:pPr>
              <w:pStyle w:val="TableContents"/>
              <w:bidi w:val="0"/>
              <w:spacing w:before="0" w:after="0"/>
              <w:jc w:val="left"/>
              <w:rPr>
                <w:spacing w:val="4"/>
              </w:rPr>
            </w:pPr>
            <w:r>
              <w:rPr>
                <w:spacing w:val="4"/>
              </w:rPr>
              <w:t xml:space="preserve">Balance as of June 30,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5,108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10,344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285,764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3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Additions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396" w:type="dxa"/>
            <w:tcBorders/>
            <w:tcMar>
              <w:bottom w:w="0" w:type="dxa"/>
            </w:tcMar>
            <w:vAlign w:val="center"/>
          </w:tcPr>
          <w:p>
            <w:pPr>
              <w:pStyle w:val="TableContents"/>
              <w:bidi w:val="0"/>
              <w:spacing w:before="0" w:after="0"/>
              <w:jc w:val="left"/>
              <w:rPr>
                <w:spacing w:val="4"/>
              </w:rPr>
            </w:pPr>
            <w:r>
              <w:rPr>
                <w:spacing w:val="4"/>
              </w:rPr>
              <w:t xml:space="preserve">Balance as of June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5,108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10,344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285,764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3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Additions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396" w:type="dxa"/>
            <w:tcBorders>
              <w:bottom w:val="single" w:sz="2" w:space="0" w:color="FFFFFF"/>
            </w:tcBorders>
            <w:tcMar>
              <w:bottom w:w="50" w:type="dxa"/>
            </w:tcMar>
            <w:vAlign w:val="center"/>
          </w:tcPr>
          <w:p>
            <w:pPr>
              <w:pStyle w:val="TableContents"/>
              <w:bidi w:val="0"/>
              <w:spacing w:before="0" w:after="0"/>
              <w:jc w:val="left"/>
              <w:rPr/>
            </w:pPr>
            <w:r>
              <w:rPr>
                <w:spacing w:val="-4"/>
              </w:rPr>
              <w:t>Balance as of June 30, 2025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248,009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5,108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10,344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22,303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285,764</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396" w:type="dxa"/>
            <w:tcBorders/>
            <w:shd w:fill="CCEEFF" w:val="clear"/>
            <w:tcMar>
              <w:bottom w:w="0" w:type="dxa"/>
            </w:tcMar>
            <w:vAlign w:val="center"/>
          </w:tcPr>
          <w:p>
            <w:pPr>
              <w:pStyle w:val="TableContents"/>
              <w:bidi w:val="0"/>
              <w:spacing w:before="0" w:after="283"/>
              <w:jc w:val="left"/>
              <w:rPr/>
            </w:pPr>
            <w:r>
              <w:rPr>
                <w:spacing w:val="-4"/>
              </w:rPr>
              <w:t>Accumulated Depreciation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396" w:type="dxa"/>
            <w:tcBorders/>
            <w:tcMar>
              <w:bottom w:w="0" w:type="dxa"/>
            </w:tcMar>
            <w:vAlign w:val="center"/>
          </w:tcPr>
          <w:p>
            <w:pPr>
              <w:pStyle w:val="TableContents"/>
              <w:bidi w:val="0"/>
              <w:spacing w:before="0" w:after="0"/>
              <w:jc w:val="left"/>
              <w:rPr>
                <w:spacing w:val="4"/>
              </w:rPr>
            </w:pPr>
            <w:r>
              <w:rPr>
                <w:spacing w:val="4"/>
              </w:rPr>
              <w:t xml:space="preserve">Balance as of June 30,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9,253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3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Charge for the year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4,842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1,120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2,585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4,460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13,007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396" w:type="dxa"/>
            <w:tcBorders/>
            <w:tcMar>
              <w:bottom w:w="0" w:type="dxa"/>
            </w:tcMar>
            <w:vAlign w:val="center"/>
          </w:tcPr>
          <w:p>
            <w:pPr>
              <w:pStyle w:val="TableContents"/>
              <w:bidi w:val="0"/>
              <w:spacing w:before="0" w:after="0"/>
              <w:jc w:val="left"/>
              <w:rPr>
                <w:spacing w:val="4"/>
              </w:rPr>
            </w:pPr>
            <w:r>
              <w:rPr>
                <w:spacing w:val="4"/>
              </w:rPr>
              <w:t xml:space="preserve">Balance as of June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4,817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22,260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3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Charge for the year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4,842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1,119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2,586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4,460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13,007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396" w:type="dxa"/>
            <w:tcBorders/>
            <w:tcMar>
              <w:bottom w:w="0" w:type="dxa"/>
            </w:tcMar>
            <w:vAlign w:val="center"/>
          </w:tcPr>
          <w:p>
            <w:pPr>
              <w:pStyle w:val="TableContents"/>
              <w:bidi w:val="0"/>
              <w:spacing w:before="0" w:after="0"/>
              <w:jc w:val="left"/>
              <w:rPr/>
            </w:pPr>
            <w:r>
              <w:rPr>
                <w:spacing w:val="-4"/>
              </w:rPr>
              <w:t>Balance as of June 30, 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13,085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2,889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7,403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11,890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35,267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396" w:type="dxa"/>
            <w:tcBorders/>
            <w:shd w:fill="CCEEFF" w:val="clear"/>
            <w:tcMar>
              <w:bottom w:w="0" w:type="dxa"/>
            </w:tcMar>
            <w:vAlign w:val="center"/>
          </w:tcPr>
          <w:p>
            <w:pPr>
              <w:pStyle w:val="TableContents"/>
              <w:bidi w:val="0"/>
              <w:spacing w:before="0" w:after="283"/>
              <w:jc w:val="left"/>
              <w:rPr/>
            </w:pPr>
            <w:r>
              <w:rPr>
                <w:spacing w:val="-4"/>
              </w:rPr>
              <w:t>Net Book Value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396" w:type="dxa"/>
            <w:tcBorders/>
            <w:tcMar>
              <w:bottom w:w="0" w:type="dxa"/>
            </w:tcMar>
            <w:vAlign w:val="center"/>
          </w:tcPr>
          <w:p>
            <w:pPr>
              <w:pStyle w:val="TableContents"/>
              <w:bidi w:val="0"/>
              <w:spacing w:before="0" w:after="0"/>
              <w:jc w:val="left"/>
              <w:rPr>
                <w:spacing w:val="4"/>
              </w:rPr>
            </w:pPr>
            <w:r>
              <w:rPr>
                <w:spacing w:val="4"/>
              </w:rPr>
              <w:t xml:space="preserve">Balance as of June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239,766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3,338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5,527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14,873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263,504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396" w:type="dxa"/>
            <w:tcBorders/>
            <w:shd w:fill="CCEEFF" w:val="clear"/>
            <w:tcMar>
              <w:bottom w:w="0" w:type="dxa"/>
            </w:tcMar>
            <w:vAlign w:val="center"/>
          </w:tcPr>
          <w:p>
            <w:pPr>
              <w:pStyle w:val="TableContents"/>
              <w:bidi w:val="0"/>
              <w:spacing w:before="0" w:after="0"/>
              <w:jc w:val="left"/>
              <w:rPr/>
            </w:pPr>
            <w:r>
              <w:rPr>
                <w:spacing w:val="-4"/>
              </w:rPr>
              <w:t>Balance as of June 30,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234,924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2,941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10,413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250,497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8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years ended June 30, 2025 and 2024, the Company recognized depreciation expenses of $13,007 and $13,007, respectively, in general and administration costs (Note 10).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FINANCIAL STATEMENTS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YEARS ENDED JUNE 30,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MINERAL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2010, the Company acquired rights to mining claims to explore and extract uranium and other valuable minerals on properties located in Malheur County, Oregon. The total purchase price was $2,000,000. The transaction was executed through a Quitclaim Deed, with the Company receiving the mining claims without any warranties regarding title, mineral reserves, or environmental conditions. Certain acquired mining claims remained subject to a 1.5% Net Smelter Royalty (“NSR”) payable to a third party. In accordance with the agreement, the Company assumed all reclamation, bonding, environmental, and regulatory obligations related to the mining claims.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ASC 930, the initial acquisition costs of $2,000,000 were capitalized as Mineral Rights. As of June 30, 2016, the carrying value was fully impaired.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June 30, 2025, the Company paid annual maintenance fees on mining claims amounting to $76,227 (June 30, 2024 — $95,691). Such annual maintenance fees are included in the exploration and evaluation expenses in the statements of operations in the years that they are incurred.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2025, future annual maintenance payments of approximately $72,200 will be required to maintain these mineral rights.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2025 and 2024, the carrying amount of Mineral Rights is $Nil.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ACCOUNTS PAYABLE AND ACCRUED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of accounts payable and accrued liabilities are as follows as of June 30, 2025 and 2024: </w:t>
      </w:r>
    </w:p>
    <w:tbl>
      <w:tblPr>
        <w:tblW w:w="4845" w:type="dxa"/>
        <w:jc w:val="left"/>
        <w:tblInd w:w="1393" w:type="dxa"/>
        <w:tblLayout w:type="fixed"/>
        <w:tblCellMar>
          <w:top w:w="0" w:type="dxa"/>
          <w:left w:w="0" w:type="dxa"/>
          <w:bottom w:w="28" w:type="dxa"/>
          <w:right w:w="0" w:type="dxa"/>
        </w:tblCellMar>
      </w:tblPr>
      <w:tblGrid>
        <w:gridCol w:w="1955"/>
        <w:gridCol w:w="109"/>
        <w:gridCol w:w="109"/>
        <w:gridCol w:w="109"/>
        <w:gridCol w:w="226"/>
        <w:gridCol w:w="646"/>
        <w:gridCol w:w="109"/>
        <w:gridCol w:w="109"/>
        <w:gridCol w:w="109"/>
        <w:gridCol w:w="109"/>
        <w:gridCol w:w="226"/>
        <w:gridCol w:w="766"/>
        <w:gridCol w:w="109"/>
        <w:gridCol w:w="154"/>
      </w:tblGrid>
      <w:tr>
        <w:trPr/>
        <w:tc>
          <w:tcPr>
            <w:tcW w:w="19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55" w:type="dxa"/>
            <w:tcBorders/>
            <w:shd w:fill="CCEEFF" w:val="clear"/>
            <w:tcMar>
              <w:bottom w:w="0" w:type="dxa"/>
            </w:tcMar>
            <w:vAlign w:val="center"/>
          </w:tcPr>
          <w:p>
            <w:pPr>
              <w:pStyle w:val="TableContents"/>
              <w:bidi w:val="0"/>
              <w:spacing w:before="0" w:after="0"/>
              <w:jc w:val="left"/>
              <w:rPr>
                <w:spacing w:val="4"/>
              </w:rPr>
            </w:pPr>
            <w:r>
              <w:rPr>
                <w:spacing w:val="4"/>
              </w:rPr>
              <w:t xml:space="preserve">Trade payables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5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Accrued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54,000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7,115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76,290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36"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MEMBER’S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LLC and does not issue common stock. Instead, ownership is represented by membership interest percentages.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2025 and 2024, Aurora holds 100% of the membership interest. Profits and losses are allocated entirely to the sole member, Aurora.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years ended June 30, 2025 and 2024, capital contributions were made by the member amounting to $149,864 and $651,058, respectively. As of June 30, 2025 and 2024, the total capital contributions amounted to $13,872,938 and $13,723,074, respectively.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EXPLORATION AND EVALUATION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of the exploration and evaluation expenses for the years ended June 30, 2025 and 2024 are presented below: </w:t>
      </w:r>
    </w:p>
    <w:tbl>
      <w:tblPr>
        <w:tblW w:w="5486" w:type="dxa"/>
        <w:jc w:val="left"/>
        <w:tblInd w:w="1393" w:type="dxa"/>
        <w:tblLayout w:type="fixed"/>
        <w:tblCellMar>
          <w:top w:w="0" w:type="dxa"/>
          <w:left w:w="0" w:type="dxa"/>
          <w:bottom w:w="28" w:type="dxa"/>
          <w:right w:w="0" w:type="dxa"/>
        </w:tblCellMar>
      </w:tblPr>
      <w:tblGrid>
        <w:gridCol w:w="2236"/>
        <w:gridCol w:w="109"/>
        <w:gridCol w:w="109"/>
        <w:gridCol w:w="109"/>
        <w:gridCol w:w="226"/>
        <w:gridCol w:w="886"/>
        <w:gridCol w:w="109"/>
        <w:gridCol w:w="109"/>
        <w:gridCol w:w="109"/>
        <w:gridCol w:w="109"/>
        <w:gridCol w:w="226"/>
        <w:gridCol w:w="886"/>
        <w:gridCol w:w="109"/>
        <w:gridCol w:w="154"/>
      </w:tblGrid>
      <w:tr>
        <w:trPr/>
        <w:tc>
          <w:tcPr>
            <w:tcW w:w="22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Consulting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117,406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554,891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ind w:left="200" w:right="0" w:hanging="0"/>
              <w:jc w:val="left"/>
              <w:rPr>
                <w:spacing w:val="4"/>
              </w:rPr>
            </w:pPr>
            <w:r>
              <w:rPr>
                <w:spacing w:val="4"/>
              </w:rPr>
              <w:t xml:space="preserve">IT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8,547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Land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ind w:left="200" w:right="0" w:hanging="0"/>
              <w:jc w:val="left"/>
              <w:rPr>
                <w:spacing w:val="4"/>
              </w:rPr>
            </w:pPr>
            <w:r>
              <w:rPr>
                <w:spacing w:val="4"/>
              </w:rPr>
              <w:t xml:space="preserve">Licences and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5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FINANCIAL STATEMENTS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YEARS ENDED JUNE 30, 2025 AND 2024</w:t>
      </w:r>
      <w:r>
        <w:rPr>
          <w:rFonts w:ascii="Times New Roman;Times;serif" w:hAnsi="Times New Roman;Times;serif"/>
          <w:b/>
          <w:i w:val="false"/>
          <w:caps w:val="false"/>
          <w:smallCaps w:val="false"/>
          <w:color w:val="000000"/>
          <w:sz w:val="20"/>
        </w:rPr>
        <w:t xml:space="preserve"> </w:t>
      </w:r>
    </w:p>
    <w:tbl>
      <w:tblPr>
        <w:tblW w:w="6628" w:type="dxa"/>
        <w:jc w:val="left"/>
        <w:tblInd w:w="1393" w:type="dxa"/>
        <w:tblLayout w:type="fixed"/>
        <w:tblCellMar>
          <w:top w:w="0" w:type="dxa"/>
          <w:left w:w="0" w:type="dxa"/>
          <w:bottom w:w="28" w:type="dxa"/>
          <w:right w:w="0" w:type="dxa"/>
        </w:tblCellMar>
      </w:tblPr>
      <w:tblGrid>
        <w:gridCol w:w="3378"/>
        <w:gridCol w:w="109"/>
        <w:gridCol w:w="109"/>
        <w:gridCol w:w="109"/>
        <w:gridCol w:w="226"/>
        <w:gridCol w:w="886"/>
        <w:gridCol w:w="109"/>
        <w:gridCol w:w="109"/>
        <w:gridCol w:w="109"/>
        <w:gridCol w:w="109"/>
        <w:gridCol w:w="226"/>
        <w:gridCol w:w="886"/>
        <w:gridCol w:w="109"/>
        <w:gridCol w:w="154"/>
      </w:tblGrid>
      <w:tr>
        <w:trPr/>
        <w:tc>
          <w:tcPr>
            <w:tcW w:w="3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Occupancy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63,495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96,583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Office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Postage and courier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45,768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Salary and wages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13,076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12,783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Traveling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9,541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Vehicle and equipment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3,677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3,279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201,932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734,803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28" w:type="dxa"/>
            <w:gridSpan w:val="14"/>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2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AND ADMINISTRATION COSTS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03200" distB="0" distL="0" distR="0" simplePos="0" locked="0" layoutInCell="1" allowOverlap="1" relativeHeight="399">
                <wp:simplePos x="0" y="0"/>
                <wp:positionH relativeFrom="column">
                  <wp:align>left</wp:align>
                </wp:positionH>
                <wp:positionV relativeFrom="line">
                  <wp:align>top</wp:align>
                </wp:positionV>
                <wp:extent cx="254000" cy="350520"/>
                <wp:effectExtent l="0" t="0" r="0" b="0"/>
                <wp:wrapSquare wrapText="right"/>
                <wp:docPr id="397" name="Frame3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10.</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10.</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of general and administration costs for the years ended June 30, 2025 and 2024 are presented below: </w:t>
      </w:r>
    </w:p>
    <w:tbl>
      <w:tblPr>
        <w:tblW w:w="5081" w:type="dxa"/>
        <w:jc w:val="left"/>
        <w:tblInd w:w="1393" w:type="dxa"/>
        <w:tblLayout w:type="fixed"/>
        <w:tblCellMar>
          <w:top w:w="0" w:type="dxa"/>
          <w:left w:w="0" w:type="dxa"/>
          <w:bottom w:w="28" w:type="dxa"/>
          <w:right w:w="0" w:type="dxa"/>
        </w:tblCellMar>
      </w:tblPr>
      <w:tblGrid>
        <w:gridCol w:w="2071"/>
        <w:gridCol w:w="109"/>
        <w:gridCol w:w="109"/>
        <w:gridCol w:w="109"/>
        <w:gridCol w:w="226"/>
        <w:gridCol w:w="766"/>
        <w:gridCol w:w="109"/>
        <w:gridCol w:w="109"/>
        <w:gridCol w:w="109"/>
        <w:gridCol w:w="109"/>
        <w:gridCol w:w="226"/>
        <w:gridCol w:w="766"/>
        <w:gridCol w:w="109"/>
        <w:gridCol w:w="154"/>
      </w:tblGrid>
      <w:tr>
        <w:trPr/>
        <w:tc>
          <w:tcPr>
            <w:tcW w:w="2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Bank charges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tcMar>
              <w:bottom w:w="0" w:type="dxa"/>
            </w:tcMar>
            <w:vAlign w:val="center"/>
          </w:tcPr>
          <w:p>
            <w:pPr>
              <w:pStyle w:val="TableContents"/>
              <w:bidi w:val="0"/>
              <w:spacing w:before="0" w:after="0"/>
              <w:ind w:left="200" w:right="0" w:hanging="0"/>
              <w:jc w:val="left"/>
              <w:rPr>
                <w:spacing w:val="4"/>
              </w:rPr>
            </w:pPr>
            <w:r>
              <w:rPr>
                <w:spacing w:val="4"/>
              </w:rPr>
              <w:t xml:space="preserve">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13,007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Insurance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15,457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tcMar>
              <w:bottom w:w="0" w:type="dxa"/>
            </w:tcMar>
            <w:vAlign w:val="center"/>
          </w:tcPr>
          <w:p>
            <w:pPr>
              <w:pStyle w:val="TableContents"/>
              <w:bidi w:val="0"/>
              <w:spacing w:before="0" w:after="0"/>
              <w:ind w:left="200" w:right="0" w:hanging="0"/>
              <w:jc w:val="left"/>
              <w:rPr>
                <w:spacing w:val="4"/>
              </w:rPr>
            </w:pPr>
            <w:r>
              <w:rPr>
                <w:spacing w:val="4"/>
              </w:rPr>
              <w:t xml:space="preserve">Office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Professional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6,253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Salary and wages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556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687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35,408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38,969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OTHER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18, 2024, the Company and its sole member, Aurora, entered into a property option agreement with Eagle Energy Metals Corp (“Eagle”). Under the agreement, Eagle is granted an exclusive option to acquire 100% of the membership interests in the Company, subject to certain conditions including the payment of cash option fees. Pursuant to the agreement, Eagle paid $300,000 to Aurora as an option payment on December 18, 2024. The exercise of the option is subject to further conditions, including the completion of a listing on a US exchange and the completion of specified financing and technical milestones, such as making a filing in accordance with S-K 1300. The initial option period is six months, with the right to extend for up to two further six-month periods upon additional payments and expenditure commitments. </w:t>
      </w:r>
    </w:p>
    <w:p>
      <w:pPr>
        <w:pStyle w:val="TextBody"/>
        <w:bidi w:val="0"/>
        <w:spacing w:lineRule="atLeast" w:line="250" w:before="22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18, 2025, Eagle exercised its right to the first six-month extension and made an additional payment of $300,000 to Aurora pursuant to the property option agreement. As part of the extension, Eagle is also obligated to reimburse the Company for expenses of the mining operation of the AUP amounting to up to $250,000. As of June 30, 2025, Eagle has reimbursed the Company $83,557. Eagle may be subject to additional obligations upon the exercise of further extensions.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9"/>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FINANCIAL STATEMENTS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YEARS ENDED JUNE 30,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50" w:before="2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of reimbursements made by Eagle for the years ended June 30, 2025 and 2024 on exploration and evaluation expenses are presented below: </w:t>
      </w:r>
    </w:p>
    <w:tbl>
      <w:tblPr>
        <w:tblW w:w="4946" w:type="dxa"/>
        <w:jc w:val="left"/>
        <w:tblInd w:w="1393" w:type="dxa"/>
        <w:tblLayout w:type="fixed"/>
        <w:tblCellMar>
          <w:top w:w="0" w:type="dxa"/>
          <w:left w:w="0" w:type="dxa"/>
          <w:bottom w:w="28" w:type="dxa"/>
          <w:right w:w="0" w:type="dxa"/>
        </w:tblCellMar>
      </w:tblPr>
      <w:tblGrid>
        <w:gridCol w:w="2236"/>
        <w:gridCol w:w="109"/>
        <w:gridCol w:w="109"/>
        <w:gridCol w:w="109"/>
        <w:gridCol w:w="226"/>
        <w:gridCol w:w="766"/>
        <w:gridCol w:w="109"/>
        <w:gridCol w:w="109"/>
        <w:gridCol w:w="109"/>
        <w:gridCol w:w="109"/>
        <w:gridCol w:w="226"/>
        <w:gridCol w:w="466"/>
        <w:gridCol w:w="109"/>
        <w:gridCol w:w="154"/>
      </w:tblGrid>
      <w:tr>
        <w:trPr/>
        <w:tc>
          <w:tcPr>
            <w:tcW w:w="22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Consulting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80,962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ind w:left="200" w:right="0" w:hanging="0"/>
              <w:jc w:val="left"/>
              <w:rPr>
                <w:spacing w:val="4"/>
              </w:rPr>
            </w:pPr>
            <w:r>
              <w:rPr>
                <w:spacing w:val="4"/>
              </w:rPr>
              <w:t xml:space="preserve">IT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Occupancy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Salary and wages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2,141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83,557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6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member, who is considered a related party under ASC 850, “Related Party Disclosures” has provided financial support by funding operational expenses and making cash contributions. These contributions were made without any interest, or repayment terms and have been classified as member’s capital (Note 8).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years ended June 30, 2025 and 2024, the Company paid $6,321 and $7,069, respectively, to Mitchell River Group &amp; Caravel Minerals Ltd., both companies affiliated with a director of the Company’s member, for salary recharges on administrative support services rendered to the Company, which were included in consulting fees under exploration and evaluation expenditures (Note 9).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INCOME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reconciliation between the effective income tax rate and the federal statutory income tax rate for the years ended June 30, 2025 and 2024 is as follows: </w:t>
      </w:r>
    </w:p>
    <w:tbl>
      <w:tblPr>
        <w:tblW w:w="7829" w:type="dxa"/>
        <w:jc w:val="left"/>
        <w:tblInd w:w="1393" w:type="dxa"/>
        <w:tblLayout w:type="fixed"/>
        <w:tblCellMar>
          <w:top w:w="0" w:type="dxa"/>
          <w:left w:w="0" w:type="dxa"/>
          <w:bottom w:w="28" w:type="dxa"/>
          <w:right w:w="0" w:type="dxa"/>
        </w:tblCellMar>
      </w:tblPr>
      <w:tblGrid>
        <w:gridCol w:w="4279"/>
        <w:gridCol w:w="109"/>
        <w:gridCol w:w="109"/>
        <w:gridCol w:w="109"/>
        <w:gridCol w:w="226"/>
        <w:gridCol w:w="1036"/>
        <w:gridCol w:w="109"/>
        <w:gridCol w:w="109"/>
        <w:gridCol w:w="109"/>
        <w:gridCol w:w="109"/>
        <w:gridCol w:w="226"/>
        <w:gridCol w:w="1036"/>
        <w:gridCol w:w="109"/>
        <w:gridCol w:w="154"/>
      </w:tblGrid>
      <w:tr>
        <w:trPr/>
        <w:tc>
          <w:tcPr>
            <w:tcW w:w="42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79"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Loss before income taxes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shd w:fill="CCEEFF" w:val="clear"/>
            <w:tcMar>
              <w:bottom w:w="50" w:type="dxa"/>
            </w:tcMar>
            <w:vAlign w:val="center"/>
          </w:tcPr>
          <w:p>
            <w:pPr>
              <w:pStyle w:val="TableContents"/>
              <w:bidi w:val="0"/>
              <w:spacing w:before="0" w:after="283"/>
              <w:jc w:val="right"/>
              <w:rPr/>
            </w:pPr>
            <w:r>
              <w:rPr/>
              <w:t>(153,783)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shd w:fill="CCEEFF" w:val="clear"/>
            <w:tcMar>
              <w:bottom w:w="50" w:type="dxa"/>
            </w:tcMar>
            <w:vAlign w:val="center"/>
          </w:tcPr>
          <w:p>
            <w:pPr>
              <w:pStyle w:val="TableContents"/>
              <w:bidi w:val="0"/>
              <w:spacing w:before="0" w:after="283"/>
              <w:jc w:val="right"/>
              <w:rPr/>
            </w:pPr>
            <w:r>
              <w:rPr/>
              <w:t>(773,772)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79" w:type="dxa"/>
            <w:tcBorders/>
            <w:tcMar>
              <w:bottom w:w="0" w:type="dxa"/>
            </w:tcMar>
            <w:vAlign w:val="center"/>
          </w:tcPr>
          <w:p>
            <w:pPr>
              <w:pStyle w:val="TableContents"/>
              <w:bidi w:val="0"/>
              <w:spacing w:before="0" w:after="0"/>
              <w:jc w:val="left"/>
              <w:rPr>
                <w:spacing w:val="4"/>
              </w:rPr>
            </w:pPr>
            <w:r>
              <w:rPr>
                <w:spacing w:val="4"/>
              </w:rPr>
              <w:t xml:space="preserve">Expected recovery at federal rate of 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(32,294)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(162,492)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9" w:type="dxa"/>
            <w:tcBorders/>
            <w:shd w:fill="CCEEFF" w:val="clear"/>
            <w:tcMar>
              <w:bottom w:w="0" w:type="dxa"/>
            </w:tcMar>
            <w:vAlign w:val="center"/>
          </w:tcPr>
          <w:p>
            <w:pPr>
              <w:pStyle w:val="TableContents"/>
              <w:bidi w:val="0"/>
              <w:spacing w:before="0" w:after="0"/>
              <w:jc w:val="left"/>
              <w:rPr>
                <w:spacing w:val="4"/>
              </w:rPr>
            </w:pPr>
            <w:r>
              <w:rPr>
                <w:spacing w:val="4"/>
              </w:rPr>
              <w:t xml:space="preserve">Expected recovery at Oregon rate of 6.6%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(10,150)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(51,069)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9" w:type="dxa"/>
            <w:tcBorders/>
            <w:tcMar>
              <w:bottom w:w="0" w:type="dxa"/>
            </w:tcMar>
            <w:vAlign w:val="center"/>
          </w:tcPr>
          <w:p>
            <w:pPr>
              <w:pStyle w:val="TableContents"/>
              <w:bidi w:val="0"/>
              <w:spacing w:before="0" w:after="0"/>
              <w:jc w:val="left"/>
              <w:rPr>
                <w:spacing w:val="4"/>
              </w:rPr>
            </w:pPr>
            <w:r>
              <w:rPr>
                <w:spacing w:val="4"/>
              </w:rPr>
              <w:t xml:space="preserve">Permanent book/tax differences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840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9"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Change in valuation allowance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shd w:fill="CCEEFF" w:val="clear"/>
            <w:tcMar>
              <w:bottom w:w="50" w:type="dxa"/>
            </w:tcMar>
            <w:vAlign w:val="center"/>
          </w:tcPr>
          <w:p>
            <w:pPr>
              <w:pStyle w:val="TableContents"/>
              <w:bidi w:val="0"/>
              <w:spacing w:before="0" w:after="283"/>
              <w:jc w:val="right"/>
              <w:rPr/>
            </w:pPr>
            <w:r>
              <w:rPr/>
              <w:t>42,423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6" w:type="dxa"/>
            <w:tcBorders>
              <w:bottom w:val="single" w:sz="2" w:space="0" w:color="000000"/>
            </w:tcBorders>
            <w:shd w:fill="CCEEFF" w:val="clear"/>
            <w:tcMar>
              <w:bottom w:w="50" w:type="dxa"/>
            </w:tcMar>
            <w:vAlign w:val="center"/>
          </w:tcPr>
          <w:p>
            <w:pPr>
              <w:pStyle w:val="TableContents"/>
              <w:bidi w:val="0"/>
              <w:spacing w:before="0" w:after="283"/>
              <w:jc w:val="right"/>
              <w:rPr/>
            </w:pPr>
            <w:r>
              <w:rPr/>
              <w:t>212,721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79" w:type="dxa"/>
            <w:tcBorders/>
            <w:tcMar>
              <w:bottom w:w="0" w:type="dxa"/>
            </w:tcMar>
            <w:vAlign w:val="center"/>
          </w:tcPr>
          <w:p>
            <w:pPr>
              <w:pStyle w:val="TableContents"/>
              <w:bidi w:val="0"/>
              <w:spacing w:before="0" w:after="0"/>
              <w:jc w:val="left"/>
              <w:rPr>
                <w:spacing w:val="4"/>
              </w:rPr>
            </w:pPr>
            <w:r>
              <w:rPr>
                <w:spacing w:val="4"/>
              </w:rPr>
              <w:t xml:space="preserve">Total tax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3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3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5534" w:type="dxa"/>
        <w:jc w:val="left"/>
        <w:tblInd w:w="1393" w:type="dxa"/>
        <w:tblLayout w:type="fixed"/>
        <w:tblCellMar>
          <w:top w:w="0" w:type="dxa"/>
          <w:left w:w="0" w:type="dxa"/>
          <w:bottom w:w="28" w:type="dxa"/>
          <w:right w:w="0" w:type="dxa"/>
        </w:tblCellMar>
      </w:tblPr>
      <w:tblGrid>
        <w:gridCol w:w="2548"/>
        <w:gridCol w:w="109"/>
        <w:gridCol w:w="109"/>
        <w:gridCol w:w="109"/>
        <w:gridCol w:w="109"/>
        <w:gridCol w:w="871"/>
        <w:gridCol w:w="109"/>
        <w:gridCol w:w="109"/>
        <w:gridCol w:w="109"/>
        <w:gridCol w:w="109"/>
        <w:gridCol w:w="109"/>
        <w:gridCol w:w="871"/>
        <w:gridCol w:w="109"/>
        <w:gridCol w:w="154"/>
      </w:tblGrid>
      <w:tr>
        <w:trPr/>
        <w:tc>
          <w:tcPr>
            <w:tcW w:w="25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548" w:type="dxa"/>
            <w:tcBorders/>
            <w:shd w:fill="CCEEFF" w:val="clear"/>
            <w:tcMar>
              <w:bottom w:w="0" w:type="dxa"/>
            </w:tcMar>
            <w:vAlign w:val="center"/>
          </w:tcPr>
          <w:p>
            <w:pPr>
              <w:pStyle w:val="TableContents"/>
              <w:bidi w:val="0"/>
              <w:spacing w:before="0" w:after="0"/>
              <w:jc w:val="left"/>
              <w:rPr>
                <w:spacing w:val="4"/>
              </w:rPr>
            </w:pPr>
            <w:r>
              <w:rPr>
                <w:spacing w:val="4"/>
              </w:rPr>
              <w:t xml:space="preserve">US federal statutory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21.0%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21.0%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48" w:type="dxa"/>
            <w:tcBorders/>
            <w:tcMar>
              <w:bottom w:w="0" w:type="dxa"/>
            </w:tcMar>
            <w:vAlign w:val="center"/>
          </w:tcPr>
          <w:p>
            <w:pPr>
              <w:pStyle w:val="TableContents"/>
              <w:bidi w:val="0"/>
              <w:spacing w:before="0" w:after="0"/>
              <w:jc w:val="left"/>
              <w:rPr>
                <w:spacing w:val="4"/>
              </w:rPr>
            </w:pPr>
            <w:r>
              <w:rPr>
                <w:spacing w:val="4"/>
              </w:rPr>
              <w:t xml:space="preserve">Oregon state rate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1"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1"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48" w:type="dxa"/>
            <w:tcBorders/>
            <w:shd w:fill="CCEEFF" w:val="clear"/>
            <w:tcMar>
              <w:bottom w:w="0" w:type="dxa"/>
            </w:tcMar>
            <w:vAlign w:val="center"/>
          </w:tcPr>
          <w:p>
            <w:pPr>
              <w:pStyle w:val="TableContents"/>
              <w:bidi w:val="0"/>
              <w:spacing w:before="0" w:after="283"/>
              <w:jc w:val="left"/>
              <w:rPr>
                <w:spacing w:val="4"/>
              </w:rPr>
            </w:pPr>
            <w:r>
              <w:rPr>
                <w:spacing w:val="4"/>
              </w:rPr>
              <w:t xml:space="preserve">Effects of: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4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Valuation allowance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1" w:type="dxa"/>
            <w:tcBorders>
              <w:bottom w:val="single" w:sz="2" w:space="0" w:color="000000"/>
            </w:tcBorders>
            <w:tcMar>
              <w:bottom w:w="50" w:type="dxa"/>
            </w:tcMar>
            <w:vAlign w:val="center"/>
          </w:tcPr>
          <w:p>
            <w:pPr>
              <w:pStyle w:val="TableContents"/>
              <w:bidi w:val="0"/>
              <w:spacing w:before="0" w:after="283"/>
              <w:jc w:val="right"/>
              <w:rPr/>
            </w:pPr>
            <w:r>
              <w:rPr/>
              <w:t>(27.6)%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1" w:type="dxa"/>
            <w:tcBorders>
              <w:bottom w:val="single" w:sz="2" w:space="0" w:color="000000"/>
            </w:tcBorders>
            <w:tcMar>
              <w:bottom w:w="50" w:type="dxa"/>
            </w:tcMar>
            <w:vAlign w:val="center"/>
          </w:tcPr>
          <w:p>
            <w:pPr>
              <w:pStyle w:val="TableContents"/>
              <w:bidi w:val="0"/>
              <w:spacing w:before="0" w:after="283"/>
              <w:jc w:val="right"/>
              <w:rPr/>
            </w:pPr>
            <w:r>
              <w:rPr/>
              <w:t>(27.6)%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5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FINANCIAL STATEMENTS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YEARS ENDED JUNE 30,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Deferred Income Tax Assets and Liabilities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components of the deferred tax assets and liabilities as of June 30, 2025 and 2024 are as follows: </w:t>
      </w:r>
    </w:p>
    <w:tbl>
      <w:tblPr>
        <w:tblW w:w="7281" w:type="dxa"/>
        <w:jc w:val="left"/>
        <w:tblInd w:w="1393" w:type="dxa"/>
        <w:tblLayout w:type="fixed"/>
        <w:tblCellMar>
          <w:top w:w="0" w:type="dxa"/>
          <w:left w:w="0" w:type="dxa"/>
          <w:bottom w:w="28" w:type="dxa"/>
          <w:right w:w="0" w:type="dxa"/>
        </w:tblCellMar>
      </w:tblPr>
      <w:tblGrid>
        <w:gridCol w:w="3371"/>
        <w:gridCol w:w="109"/>
        <w:gridCol w:w="109"/>
        <w:gridCol w:w="109"/>
        <w:gridCol w:w="226"/>
        <w:gridCol w:w="1216"/>
        <w:gridCol w:w="109"/>
        <w:gridCol w:w="109"/>
        <w:gridCol w:w="109"/>
        <w:gridCol w:w="109"/>
        <w:gridCol w:w="226"/>
        <w:gridCol w:w="1216"/>
        <w:gridCol w:w="109"/>
        <w:gridCol w:w="154"/>
      </w:tblGrid>
      <w:tr>
        <w:trPr/>
        <w:tc>
          <w:tcPr>
            <w:tcW w:w="33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71" w:type="dxa"/>
            <w:tcBorders/>
            <w:shd w:fill="CCEEFF" w:val="clear"/>
            <w:tcMar>
              <w:bottom w:w="0" w:type="dxa"/>
            </w:tcMar>
            <w:vAlign w:val="center"/>
          </w:tcPr>
          <w:p>
            <w:pPr>
              <w:pStyle w:val="TableContents"/>
              <w:bidi w:val="0"/>
              <w:spacing w:before="0" w:after="283"/>
              <w:jc w:val="left"/>
              <w:rPr>
                <w:spacing w:val="4"/>
              </w:rPr>
            </w:pPr>
            <w:r>
              <w:rPr>
                <w:spacing w:val="4"/>
              </w:rPr>
              <w:t xml:space="preserve">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1" w:type="dxa"/>
            <w:tcBorders/>
            <w:tcMar>
              <w:bottom w:w="0" w:type="dxa"/>
            </w:tcMar>
            <w:vAlign w:val="center"/>
          </w:tcPr>
          <w:p>
            <w:pPr>
              <w:pStyle w:val="TableContents"/>
              <w:bidi w:val="0"/>
              <w:spacing w:before="0" w:after="0"/>
              <w:ind w:left="200" w:right="0" w:hanging="0"/>
              <w:jc w:val="left"/>
              <w:rPr>
                <w:spacing w:val="4"/>
              </w:rPr>
            </w:pPr>
            <w:r>
              <w:rPr>
                <w:spacing w:val="4"/>
              </w:rPr>
              <w:t xml:space="preserve">Net operating loss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2,249,303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2,132,745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7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Property, plant and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1" w:type="dxa"/>
            <w:tcBorders/>
            <w:tcMar>
              <w:bottom w:w="0" w:type="dxa"/>
            </w:tcMar>
            <w:vAlign w:val="center"/>
          </w:tcPr>
          <w:p>
            <w:pPr>
              <w:pStyle w:val="TableContents"/>
              <w:bidi w:val="0"/>
              <w:spacing w:before="0" w:after="0"/>
              <w:ind w:left="200" w:right="0" w:hanging="0"/>
              <w:jc w:val="left"/>
              <w:rPr>
                <w:spacing w:val="4"/>
              </w:rPr>
            </w:pPr>
            <w:r>
              <w:rPr>
                <w:spacing w:val="4"/>
              </w:rPr>
              <w:t xml:space="preserve">Exploration expenditures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782,351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856,808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71"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Start-up costs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shd w:fill="CCEEFF" w:val="clear"/>
            <w:tcMar>
              <w:bottom w:w="50" w:type="dxa"/>
            </w:tcMar>
            <w:vAlign w:val="center"/>
          </w:tcPr>
          <w:p>
            <w:pPr>
              <w:pStyle w:val="TableContents"/>
              <w:bidi w:val="0"/>
              <w:spacing w:before="0" w:after="283"/>
              <w:jc w:val="right"/>
              <w:rPr/>
            </w:pPr>
            <w:r>
              <w:rPr/>
              <w:t>688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37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gross deferred tax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tcMar>
              <w:bottom w:w="50" w:type="dxa"/>
            </w:tcMar>
            <w:vAlign w:val="center"/>
          </w:tcPr>
          <w:p>
            <w:pPr>
              <w:pStyle w:val="TableContents"/>
              <w:bidi w:val="0"/>
              <w:spacing w:before="0" w:after="283"/>
              <w:jc w:val="right"/>
              <w:rPr/>
            </w:pPr>
            <w:r>
              <w:rPr/>
              <w:t>3,033,162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tcMar>
              <w:bottom w:w="50" w:type="dxa"/>
            </w:tcMar>
            <w:vAlign w:val="center"/>
          </w:tcPr>
          <w:p>
            <w:pPr>
              <w:pStyle w:val="TableContents"/>
              <w:bidi w:val="0"/>
              <w:spacing w:before="0" w:after="283"/>
              <w:jc w:val="right"/>
              <w:rPr/>
            </w:pPr>
            <w:r>
              <w:rPr/>
              <w:t>2,990,739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7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Valuation allowance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shd w:fill="CCEEFF" w:val="clear"/>
            <w:tcMar>
              <w:bottom w:w="50" w:type="dxa"/>
            </w:tcMar>
            <w:vAlign w:val="center"/>
          </w:tcPr>
          <w:p>
            <w:pPr>
              <w:pStyle w:val="TableContents"/>
              <w:bidi w:val="0"/>
              <w:spacing w:before="0" w:after="283"/>
              <w:jc w:val="right"/>
              <w:rPr/>
            </w:pPr>
            <w:r>
              <w:rPr/>
              <w:t>(3,033,162)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shd w:fill="CCEEFF" w:val="clear"/>
            <w:tcMar>
              <w:bottom w:w="50" w:type="dxa"/>
            </w:tcMar>
            <w:vAlign w:val="center"/>
          </w:tcPr>
          <w:p>
            <w:pPr>
              <w:pStyle w:val="TableContents"/>
              <w:bidi w:val="0"/>
              <w:spacing w:before="0" w:after="283"/>
              <w:jc w:val="right"/>
              <w:rPr/>
            </w:pPr>
            <w:r>
              <w:rPr/>
              <w:t>(2,990,739)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371" w:type="dxa"/>
            <w:tcBorders/>
            <w:tcMar>
              <w:bottom w:w="0" w:type="dxa"/>
            </w:tcMar>
            <w:vAlign w:val="center"/>
          </w:tcPr>
          <w:p>
            <w:pPr>
              <w:pStyle w:val="TableContents"/>
              <w:bidi w:val="0"/>
              <w:spacing w:before="0" w:after="0"/>
              <w:jc w:val="left"/>
              <w:rPr>
                <w:b/>
              </w:rPr>
            </w:pPr>
            <w:r>
              <w:rPr>
                <w:b/>
                <w:spacing w:val="-4"/>
              </w:rPr>
              <w:t>Net deferred tax asset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21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21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2025, the Company had approximately $7,659,000 and $8,150,000, respectively, of federal and state net operating loss carry forwards that carry forward indefinitely. As of June 30, 2024, the Company had approximately $7,237,000 and $7,727,000, respectively, of federal and state net operating loss carry forwards that carry forward indefinitely. Tax credit carry forwards may be subject to a substantial annual limitation due to ownership change limitations that may have occurred or that could occur in the future, as required by the Internal Revenue Code (the “IRC”), as amended, as well as similar state provisions. In general, an ownership change as defined by the IRC results from a transaction or series of transactions over a three-year period resulting in an ownership change of more than 50 percent of the outstanding common stock of a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subject to U.S. federal income tax examinations by tax authorities for tax years 2022 to 2025. The Company may be subject to income tax examinations for the various state taxing authorities which vary by jurisdiction.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uncertainty of the Company’s ability to realize the benefit of the deferred tax assets, primarily related to the history of cumulative operating losses, and uncertainty about future taxable profits, the net deferred tax assets are fully offset by a valuation allowance at June 30, 2025 and 2024.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evaluated its income tax positions and has determined that it does not have any uncertain tax positions. The Company will recognize interest and penalties related to any uncertain tax positions through its income tax expense.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   SUBSEQUENT EVENTS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of the Company has evaluated all events and transactions occurring subsequent to June 30, 2025, through the date the accompanying financial statements were issued for items that should be adjusted for or disclosed in the accompanying financial statements and notes to the financial statements noting no such events or transactions other than the following items.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2025, the Company received correspondences from the BLM in respect of 4 unpatented placer mining claims in Humboldt County, Nevada, that those mining claims were declared null and void due to the lands being closed to mineral entry, and the Company is to receive a refund of $2,280 for location and maintenance fees previously provided by the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31, 2025, Eagle announced it has entered into a Business Combination Agreement with Spring Valley Acquisition Corp. II (“SVII”), a publicly traded special purpose acquisition company listed on NASDAQ under the symbol “SVII”. Eagle is expected to complete its listing on NASDAQ through a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FINANCIAL STATEMENTS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YEARS ENDED JUNE 30,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SVII, and satisfy the condition of listing on a US exchange (Note 11) for the exercise of the property option agreement between Aurora and Eagle for the membership interests in the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August 8, 2025, a S-K 1300 Technical Report Summary on the AUP was completed by BBA USA Inc., which was engaged by Eagle.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UNAUDITED CONDENSED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THREE AND SIX MONTHS ENDED DECEMBER 31, 2025 AND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fOBSO"/>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CONDENSED BALANCE SHEETS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AS OF DECEMBER 31, 2025 AND JUNE 30, 2025</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443"/>
        <w:gridCol w:w="109"/>
        <w:gridCol w:w="109"/>
        <w:gridCol w:w="121"/>
        <w:gridCol w:w="253"/>
        <w:gridCol w:w="1501"/>
        <w:gridCol w:w="121"/>
        <w:gridCol w:w="109"/>
        <w:gridCol w:w="109"/>
        <w:gridCol w:w="109"/>
        <w:gridCol w:w="226"/>
        <w:gridCol w:w="1335"/>
        <w:gridCol w:w="109"/>
        <w:gridCol w:w="158"/>
      </w:tblGrid>
      <w:tr>
        <w:trPr/>
        <w:tc>
          <w:tcPr>
            <w:tcW w:w="44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December 31, 2025</w:t>
            </w:r>
            <w:r>
              <w:rPr/>
              <w:t xml:space="preserve"> </w:t>
              <w:br/>
            </w:r>
            <w:r>
              <w:rPr>
                <w:spacing w:val="-3"/>
              </w:rPr>
              <w:t xml:space="preserve">(Unaudited)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7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June 30, 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4443"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501"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43" w:type="dxa"/>
            <w:tcBorders/>
            <w:tcMar>
              <w:bottom w:w="0" w:type="dxa"/>
            </w:tcMar>
            <w:vAlign w:val="center"/>
          </w:tcPr>
          <w:p>
            <w:pPr>
              <w:pStyle w:val="TableContents"/>
              <w:bidi w:val="0"/>
              <w:spacing w:before="0" w:after="283"/>
              <w:jc w:val="left"/>
              <w:rPr/>
            </w:pPr>
            <w:r>
              <w:rPr>
                <w:spacing w:val="-4"/>
              </w:rPr>
              <w:t>Current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501"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43" w:type="dxa"/>
            <w:tcBorders/>
            <w:shd w:fill="CCEEFF" w:val="clear"/>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501" w:type="dxa"/>
            <w:tcBorders/>
            <w:shd w:fill="CCEEFF" w:val="clear"/>
            <w:tcMar>
              <w:bottom w:w="0" w:type="dxa"/>
            </w:tcMar>
            <w:vAlign w:val="center"/>
          </w:tcPr>
          <w:p>
            <w:pPr>
              <w:pStyle w:val="TableContents"/>
              <w:bidi w:val="0"/>
              <w:spacing w:before="0" w:after="283"/>
              <w:jc w:val="right"/>
              <w:rPr/>
            </w:pPr>
            <w:r>
              <w:rPr/>
              <w:t>1,733</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5" w:type="dxa"/>
            <w:tcBorders/>
            <w:shd w:fill="CCEEFF" w:val="clear"/>
            <w:tcMar>
              <w:bottom w:w="0" w:type="dxa"/>
            </w:tcMar>
            <w:vAlign w:val="center"/>
          </w:tcPr>
          <w:p>
            <w:pPr>
              <w:pStyle w:val="TableContents"/>
              <w:bidi w:val="0"/>
              <w:spacing w:before="0" w:after="283"/>
              <w:jc w:val="right"/>
              <w:rPr/>
            </w:pPr>
            <w:r>
              <w:rPr/>
              <w:t>16,731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4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Prepaids and deposits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3" w:type="dxa"/>
            <w:tcBorders>
              <w:bottom w:val="single" w:sz="2" w:space="0" w:color="000000"/>
            </w:tcBorders>
            <w:tcMar>
              <w:bottom w:w="50" w:type="dxa"/>
            </w:tcMar>
            <w:vAlign w:val="center"/>
          </w:tcPr>
          <w:p>
            <w:pPr>
              <w:pStyle w:val="TableContents"/>
              <w:bidi w:val="0"/>
              <w:spacing w:before="0" w:after="283"/>
              <w:jc w:val="right"/>
              <w:rPr/>
            </w:pPr>
            <w:r>
              <w:rPr/>
              <w:t>​</w:t>
            </w:r>
          </w:p>
        </w:tc>
        <w:tc>
          <w:tcPr>
            <w:tcW w:w="1501" w:type="dxa"/>
            <w:tcBorders>
              <w:bottom w:val="single" w:sz="2" w:space="0" w:color="000000"/>
            </w:tcBorders>
            <w:tcMar>
              <w:bottom w:w="50" w:type="dxa"/>
            </w:tcMar>
            <w:vAlign w:val="center"/>
          </w:tcPr>
          <w:p>
            <w:pPr>
              <w:pStyle w:val="TableContents"/>
              <w:bidi w:val="0"/>
              <w:spacing w:before="0" w:after="283"/>
              <w:jc w:val="right"/>
              <w:rPr/>
            </w:pPr>
            <w:r>
              <w:rPr/>
              <w:t>56,458</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5" w:type="dxa"/>
            <w:tcBorders>
              <w:bottom w:val="single" w:sz="2" w:space="0" w:color="000000"/>
            </w:tcBorders>
            <w:tcMar>
              <w:bottom w:w="50" w:type="dxa"/>
            </w:tcMar>
            <w:vAlign w:val="center"/>
          </w:tcPr>
          <w:p>
            <w:pPr>
              <w:pStyle w:val="TableContents"/>
              <w:bidi w:val="0"/>
              <w:spacing w:before="0" w:after="283"/>
              <w:jc w:val="right"/>
              <w:rPr/>
            </w:pPr>
            <w:r>
              <w:rPr/>
              <w:t>22,361</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444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01" w:type="dxa"/>
            <w:tcBorders>
              <w:bottom w:val="single" w:sz="2" w:space="0" w:color="000000"/>
            </w:tcBorders>
            <w:shd w:fill="CCEEFF" w:val="clear"/>
            <w:tcMar>
              <w:bottom w:w="50" w:type="dxa"/>
            </w:tcMar>
            <w:vAlign w:val="center"/>
          </w:tcPr>
          <w:p>
            <w:pPr>
              <w:pStyle w:val="TableContents"/>
              <w:bidi w:val="0"/>
              <w:spacing w:before="0" w:after="283"/>
              <w:jc w:val="right"/>
              <w:rPr/>
            </w:pPr>
            <w:r>
              <w:rPr/>
              <w:t>58,191</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5" w:type="dxa"/>
            <w:tcBorders>
              <w:bottom w:val="single" w:sz="2" w:space="0" w:color="000000"/>
            </w:tcBorders>
            <w:shd w:fill="CCEEFF" w:val="clear"/>
            <w:tcMar>
              <w:bottom w:w="50" w:type="dxa"/>
            </w:tcMar>
            <w:vAlign w:val="center"/>
          </w:tcPr>
          <w:p>
            <w:pPr>
              <w:pStyle w:val="TableContents"/>
              <w:bidi w:val="0"/>
              <w:spacing w:before="0" w:after="283"/>
              <w:jc w:val="right"/>
              <w:rPr/>
            </w:pPr>
            <w:r>
              <w:rPr/>
              <w:t>39,092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43" w:type="dxa"/>
            <w:tcBorders/>
            <w:tcMar>
              <w:bottom w:w="0" w:type="dxa"/>
            </w:tcMar>
            <w:vAlign w:val="center"/>
          </w:tcPr>
          <w:p>
            <w:pPr>
              <w:pStyle w:val="TableContents"/>
              <w:bidi w:val="0"/>
              <w:spacing w:before="0" w:after="283"/>
              <w:jc w:val="left"/>
              <w:rPr/>
            </w:pPr>
            <w:r>
              <w:rPr>
                <w:spacing w:val="-4"/>
              </w:rPr>
              <w:t>Non-current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501"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43" w:type="dxa"/>
            <w:tcBorders/>
            <w:shd w:fill="CCEEFF" w:val="clear"/>
            <w:tcMar>
              <w:bottom w:w="0" w:type="dxa"/>
            </w:tcMar>
            <w:vAlign w:val="center"/>
          </w:tcPr>
          <w:p>
            <w:pPr>
              <w:pStyle w:val="TableContents"/>
              <w:bidi w:val="0"/>
              <w:spacing w:before="0" w:after="0"/>
              <w:jc w:val="left"/>
              <w:rPr>
                <w:spacing w:val="4"/>
              </w:rPr>
            </w:pPr>
            <w:r>
              <w:rPr>
                <w:spacing w:val="4"/>
              </w:rPr>
              <w:t xml:space="preserve">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501" w:type="dxa"/>
            <w:tcBorders/>
            <w:shd w:fill="CCEEFF" w:val="clear"/>
            <w:tcMar>
              <w:bottom w:w="0" w:type="dxa"/>
            </w:tcMar>
            <w:vAlign w:val="center"/>
          </w:tcPr>
          <w:p>
            <w:pPr>
              <w:pStyle w:val="TableContents"/>
              <w:bidi w:val="0"/>
              <w:spacing w:before="0" w:after="283"/>
              <w:jc w:val="right"/>
              <w:rPr/>
            </w:pPr>
            <w:r>
              <w:rPr/>
              <w:t>140,960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5" w:type="dxa"/>
            <w:tcBorders/>
            <w:shd w:fill="CCEEFF" w:val="clear"/>
            <w:tcMar>
              <w:bottom w:w="0" w:type="dxa"/>
            </w:tcMar>
            <w:vAlign w:val="center"/>
          </w:tcPr>
          <w:p>
            <w:pPr>
              <w:pStyle w:val="TableContents"/>
              <w:bidi w:val="0"/>
              <w:spacing w:before="0" w:after="283"/>
              <w:jc w:val="right"/>
              <w:rPr/>
            </w:pPr>
            <w:r>
              <w:rPr/>
              <w:t>140,960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4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Property, plant and equipment,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3" w:type="dxa"/>
            <w:tcBorders>
              <w:bottom w:val="single" w:sz="2" w:space="0" w:color="000000"/>
            </w:tcBorders>
            <w:tcMar>
              <w:bottom w:w="50" w:type="dxa"/>
            </w:tcMar>
            <w:vAlign w:val="center"/>
          </w:tcPr>
          <w:p>
            <w:pPr>
              <w:pStyle w:val="TableContents"/>
              <w:bidi w:val="0"/>
              <w:spacing w:before="0" w:after="283"/>
              <w:jc w:val="right"/>
              <w:rPr/>
            </w:pPr>
            <w:r>
              <w:rPr/>
              <w:t>​</w:t>
            </w:r>
          </w:p>
        </w:tc>
        <w:tc>
          <w:tcPr>
            <w:tcW w:w="1501" w:type="dxa"/>
            <w:tcBorders>
              <w:bottom w:val="single" w:sz="2" w:space="0" w:color="000000"/>
            </w:tcBorders>
            <w:tcMar>
              <w:bottom w:w="50" w:type="dxa"/>
            </w:tcMar>
            <w:vAlign w:val="center"/>
          </w:tcPr>
          <w:p>
            <w:pPr>
              <w:pStyle w:val="TableContents"/>
              <w:bidi w:val="0"/>
              <w:spacing w:before="0" w:after="283"/>
              <w:jc w:val="right"/>
              <w:rPr/>
            </w:pPr>
            <w:r>
              <w:rPr/>
              <w:t>243,938</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5" w:type="dxa"/>
            <w:tcBorders>
              <w:bottom w:val="single" w:sz="2" w:space="0" w:color="000000"/>
            </w:tcBorders>
            <w:tcMar>
              <w:bottom w:w="50" w:type="dxa"/>
            </w:tcMar>
            <w:vAlign w:val="center"/>
          </w:tcPr>
          <w:p>
            <w:pPr>
              <w:pStyle w:val="TableContents"/>
              <w:bidi w:val="0"/>
              <w:spacing w:before="0" w:after="283"/>
              <w:jc w:val="right"/>
              <w:rPr/>
            </w:pPr>
            <w:r>
              <w:rPr/>
              <w:t>250,497</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444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non-current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01" w:type="dxa"/>
            <w:tcBorders>
              <w:bottom w:val="single" w:sz="2" w:space="0" w:color="000000"/>
            </w:tcBorders>
            <w:shd w:fill="CCEEFF" w:val="clear"/>
            <w:tcMar>
              <w:bottom w:w="50" w:type="dxa"/>
            </w:tcMar>
            <w:vAlign w:val="center"/>
          </w:tcPr>
          <w:p>
            <w:pPr>
              <w:pStyle w:val="TableContents"/>
              <w:bidi w:val="0"/>
              <w:spacing w:before="0" w:after="283"/>
              <w:jc w:val="right"/>
              <w:rPr/>
            </w:pPr>
            <w:r>
              <w:rPr/>
              <w:t>384,898</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5" w:type="dxa"/>
            <w:tcBorders>
              <w:bottom w:val="single" w:sz="2" w:space="0" w:color="000000"/>
            </w:tcBorders>
            <w:shd w:fill="CCEEFF" w:val="clear"/>
            <w:tcMar>
              <w:bottom w:w="50" w:type="dxa"/>
            </w:tcMar>
            <w:vAlign w:val="center"/>
          </w:tcPr>
          <w:p>
            <w:pPr>
              <w:pStyle w:val="TableContents"/>
              <w:bidi w:val="0"/>
              <w:spacing w:before="0" w:after="283"/>
              <w:jc w:val="right"/>
              <w:rPr/>
            </w:pPr>
            <w:r>
              <w:rPr/>
              <w:t>391,457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43" w:type="dxa"/>
            <w:tcBorders/>
            <w:tcMar>
              <w:bottom w:w="0" w:type="dxa"/>
            </w:tcMar>
            <w:vAlign w:val="center"/>
          </w:tcPr>
          <w:p>
            <w:pPr>
              <w:pStyle w:val="TableContents"/>
              <w:bidi w:val="0"/>
              <w:spacing w:before="0" w:after="0"/>
              <w:jc w:val="left"/>
              <w:rPr/>
            </w:pPr>
            <w:r>
              <w:rPr>
                <w:spacing w:val="-4"/>
              </w:rPr>
              <w:t>Total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bottom w:val="double" w:sz="8" w:space="0" w:color="000000"/>
            </w:tcBorders>
            <w:tcMar>
              <w:bottom w:w="50" w:type="dxa"/>
            </w:tcMar>
            <w:vAlign w:val="center"/>
          </w:tcPr>
          <w:p>
            <w:pPr>
              <w:pStyle w:val="TableContents"/>
              <w:bidi w:val="0"/>
              <w:spacing w:before="0" w:after="283"/>
              <w:jc w:val="right"/>
              <w:rPr/>
            </w:pPr>
            <w:r>
              <w:rPr/>
              <w:t>$</w:t>
            </w:r>
          </w:p>
        </w:tc>
        <w:tc>
          <w:tcPr>
            <w:tcW w:w="1501" w:type="dxa"/>
            <w:tcBorders>
              <w:bottom w:val="double" w:sz="8" w:space="0" w:color="000000"/>
            </w:tcBorders>
            <w:tcMar>
              <w:bottom w:w="50" w:type="dxa"/>
            </w:tcMar>
            <w:vAlign w:val="center"/>
          </w:tcPr>
          <w:p>
            <w:pPr>
              <w:pStyle w:val="TableContents"/>
              <w:bidi w:val="0"/>
              <w:spacing w:before="0" w:after="283"/>
              <w:jc w:val="right"/>
              <w:rPr/>
            </w:pPr>
            <w:r>
              <w:rPr/>
              <w:t>443,089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35" w:type="dxa"/>
            <w:tcBorders>
              <w:bottom w:val="double" w:sz="8" w:space="0" w:color="000000"/>
            </w:tcBorders>
            <w:tcMar>
              <w:bottom w:w="50" w:type="dxa"/>
            </w:tcMar>
            <w:vAlign w:val="center"/>
          </w:tcPr>
          <w:p>
            <w:pPr>
              <w:pStyle w:val="TableContents"/>
              <w:bidi w:val="0"/>
              <w:spacing w:before="0" w:after="283"/>
              <w:jc w:val="right"/>
              <w:rPr/>
            </w:pPr>
            <w:r>
              <w:rPr/>
              <w:t>430,549</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43" w:type="dxa"/>
            <w:tcBorders/>
            <w:shd w:fill="CCEEFF" w:val="clear"/>
            <w:tcMar>
              <w:bottom w:w="0" w:type="dxa"/>
            </w:tcMar>
            <w:vAlign w:val="center"/>
          </w:tcPr>
          <w:p>
            <w:pPr>
              <w:pStyle w:val="TableContents"/>
              <w:bidi w:val="0"/>
              <w:spacing w:before="0" w:after="283"/>
              <w:jc w:val="left"/>
              <w:rPr/>
            </w:pPr>
            <w:r>
              <w:rPr>
                <w:spacing w:val="-4"/>
              </w:rPr>
              <w:t>LIABILITIES AND MEMBER’S CAPITAL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501"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43" w:type="dxa"/>
            <w:tcBorders/>
            <w:tcMar>
              <w:bottom w:w="0" w:type="dxa"/>
            </w:tcMar>
            <w:vAlign w:val="center"/>
          </w:tcPr>
          <w:p>
            <w:pPr>
              <w:pStyle w:val="TableContents"/>
              <w:bidi w:val="0"/>
              <w:spacing w:before="0" w:after="283"/>
              <w:jc w:val="left"/>
              <w:rPr/>
            </w:pPr>
            <w:r>
              <w:rPr>
                <w:spacing w:val="-4"/>
              </w:rPr>
              <w:t>Current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501"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4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Accounts payable and accrued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01" w:type="dxa"/>
            <w:tcBorders>
              <w:bottom w:val="single" w:sz="2" w:space="0" w:color="000000"/>
            </w:tcBorders>
            <w:shd w:fill="CCEEFF" w:val="clear"/>
            <w:tcMar>
              <w:bottom w:w="50" w:type="dxa"/>
            </w:tcMar>
            <w:vAlign w:val="center"/>
          </w:tcPr>
          <w:p>
            <w:pPr>
              <w:pStyle w:val="TableContents"/>
              <w:bidi w:val="0"/>
              <w:spacing w:before="0" w:after="283"/>
              <w:jc w:val="right"/>
              <w:rPr/>
            </w:pPr>
            <w:r>
              <w:rPr/>
              <w:t>1,568</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5" w:type="dxa"/>
            <w:tcBorders>
              <w:bottom w:val="single" w:sz="2" w:space="0" w:color="000000"/>
            </w:tcBorders>
            <w:shd w:fill="CCEEFF" w:val="clear"/>
            <w:tcMar>
              <w:bottom w:w="50" w:type="dxa"/>
            </w:tcMar>
            <w:vAlign w:val="center"/>
          </w:tcPr>
          <w:p>
            <w:pPr>
              <w:pStyle w:val="TableContents"/>
              <w:bidi w:val="0"/>
              <w:spacing w:before="0" w:after="283"/>
              <w:jc w:val="right"/>
              <w:rPr/>
            </w:pPr>
            <w:r>
              <w:rPr/>
              <w:t>7,115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4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current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3" w:type="dxa"/>
            <w:tcBorders>
              <w:bottom w:val="single" w:sz="2" w:space="0" w:color="000000"/>
            </w:tcBorders>
            <w:tcMar>
              <w:bottom w:w="50" w:type="dxa"/>
            </w:tcMar>
            <w:vAlign w:val="center"/>
          </w:tcPr>
          <w:p>
            <w:pPr>
              <w:pStyle w:val="TableContents"/>
              <w:bidi w:val="0"/>
              <w:spacing w:before="0" w:after="283"/>
              <w:jc w:val="right"/>
              <w:rPr/>
            </w:pPr>
            <w:r>
              <w:rPr/>
              <w:t>​</w:t>
            </w:r>
          </w:p>
        </w:tc>
        <w:tc>
          <w:tcPr>
            <w:tcW w:w="1501" w:type="dxa"/>
            <w:tcBorders>
              <w:bottom w:val="single" w:sz="2" w:space="0" w:color="000000"/>
            </w:tcBorders>
            <w:tcMar>
              <w:bottom w:w="50" w:type="dxa"/>
            </w:tcMar>
            <w:vAlign w:val="center"/>
          </w:tcPr>
          <w:p>
            <w:pPr>
              <w:pStyle w:val="TableContents"/>
              <w:bidi w:val="0"/>
              <w:spacing w:before="0" w:after="283"/>
              <w:jc w:val="right"/>
              <w:rPr/>
            </w:pPr>
            <w:r>
              <w:rPr/>
              <w:t>1,568</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5" w:type="dxa"/>
            <w:tcBorders>
              <w:bottom w:val="single" w:sz="2" w:space="0" w:color="000000"/>
            </w:tcBorders>
            <w:tcMar>
              <w:bottom w:w="50" w:type="dxa"/>
            </w:tcMar>
            <w:vAlign w:val="center"/>
          </w:tcPr>
          <w:p>
            <w:pPr>
              <w:pStyle w:val="TableContents"/>
              <w:bidi w:val="0"/>
              <w:spacing w:before="0" w:after="283"/>
              <w:jc w:val="right"/>
              <w:rPr/>
            </w:pPr>
            <w:r>
              <w:rPr/>
              <w:t>7,115</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444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liabilities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01" w:type="dxa"/>
            <w:tcBorders>
              <w:bottom w:val="single" w:sz="2" w:space="0" w:color="000000"/>
            </w:tcBorders>
            <w:shd w:fill="CCEEFF" w:val="clear"/>
            <w:tcMar>
              <w:bottom w:w="50" w:type="dxa"/>
            </w:tcMar>
            <w:vAlign w:val="center"/>
          </w:tcPr>
          <w:p>
            <w:pPr>
              <w:pStyle w:val="TableContents"/>
              <w:bidi w:val="0"/>
              <w:spacing w:before="0" w:after="283"/>
              <w:jc w:val="right"/>
              <w:rPr/>
            </w:pPr>
            <w:r>
              <w:rPr/>
              <w:t>1,568</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5" w:type="dxa"/>
            <w:tcBorders>
              <w:bottom w:val="single" w:sz="2" w:space="0" w:color="000000"/>
            </w:tcBorders>
            <w:shd w:fill="CCEEFF" w:val="clear"/>
            <w:tcMar>
              <w:bottom w:w="50" w:type="dxa"/>
            </w:tcMar>
            <w:vAlign w:val="center"/>
          </w:tcPr>
          <w:p>
            <w:pPr>
              <w:pStyle w:val="TableContents"/>
              <w:bidi w:val="0"/>
              <w:spacing w:before="0" w:after="283"/>
              <w:jc w:val="right"/>
              <w:rPr/>
            </w:pPr>
            <w:r>
              <w:rPr/>
              <w:t>7,115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43" w:type="dxa"/>
            <w:tcBorders/>
            <w:tcMar>
              <w:bottom w:w="0" w:type="dxa"/>
            </w:tcMar>
            <w:vAlign w:val="center"/>
          </w:tcPr>
          <w:p>
            <w:pPr>
              <w:pStyle w:val="TableContents"/>
              <w:bidi w:val="0"/>
              <w:spacing w:before="0" w:after="283"/>
              <w:jc w:val="left"/>
              <w:rPr/>
            </w:pPr>
            <w:r>
              <w:rPr>
                <w:spacing w:val="-4"/>
              </w:rPr>
              <w:t>Member’s capital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tcMar>
              <w:bottom w:w="0" w:type="dxa"/>
            </w:tcMar>
            <w:vAlign w:val="center"/>
          </w:tcPr>
          <w:p>
            <w:pPr>
              <w:pStyle w:val="TableContents"/>
              <w:bidi w:val="0"/>
              <w:spacing w:before="0" w:after="283"/>
              <w:jc w:val="right"/>
              <w:rPr/>
            </w:pPr>
            <w:r>
              <w:rPr/>
              <w:t>​</w:t>
            </w:r>
          </w:p>
        </w:tc>
        <w:tc>
          <w:tcPr>
            <w:tcW w:w="1501"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43" w:type="dxa"/>
            <w:tcBorders/>
            <w:shd w:fill="CCEEFF" w:val="clear"/>
            <w:tcMar>
              <w:bottom w:w="0" w:type="dxa"/>
            </w:tcMar>
            <w:vAlign w:val="center"/>
          </w:tcPr>
          <w:p>
            <w:pPr>
              <w:pStyle w:val="TableContents"/>
              <w:bidi w:val="0"/>
              <w:spacing w:before="0" w:after="0"/>
              <w:jc w:val="left"/>
              <w:rPr>
                <w:spacing w:val="4"/>
              </w:rPr>
            </w:pPr>
            <w:r>
              <w:rPr>
                <w:spacing w:val="4"/>
              </w:rPr>
              <w:t xml:space="preserve">Member’s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3" w:type="dxa"/>
            <w:tcBorders/>
            <w:shd w:fill="CCEEFF" w:val="clear"/>
            <w:tcMar>
              <w:bottom w:w="0" w:type="dxa"/>
            </w:tcMar>
            <w:vAlign w:val="center"/>
          </w:tcPr>
          <w:p>
            <w:pPr>
              <w:pStyle w:val="TableContents"/>
              <w:bidi w:val="0"/>
              <w:spacing w:before="0" w:after="283"/>
              <w:jc w:val="right"/>
              <w:rPr/>
            </w:pPr>
            <w:r>
              <w:rPr/>
              <w:t>​</w:t>
            </w:r>
          </w:p>
        </w:tc>
        <w:tc>
          <w:tcPr>
            <w:tcW w:w="1501" w:type="dxa"/>
            <w:tcBorders/>
            <w:shd w:fill="CCEEFF" w:val="clear"/>
            <w:tcMar>
              <w:bottom w:w="0" w:type="dxa"/>
            </w:tcMar>
            <w:vAlign w:val="center"/>
          </w:tcPr>
          <w:p>
            <w:pPr>
              <w:pStyle w:val="TableContents"/>
              <w:bidi w:val="0"/>
              <w:spacing w:before="0" w:after="283"/>
              <w:jc w:val="right"/>
              <w:rPr/>
            </w:pPr>
            <w:r>
              <w:rPr/>
              <w:t>13,876,079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5" w:type="dxa"/>
            <w:tcBorders/>
            <w:shd w:fill="CCEEFF" w:val="clear"/>
            <w:tcMar>
              <w:bottom w:w="0" w:type="dxa"/>
            </w:tcMar>
            <w:vAlign w:val="center"/>
          </w:tcPr>
          <w:p>
            <w:pPr>
              <w:pStyle w:val="TableContents"/>
              <w:bidi w:val="0"/>
              <w:spacing w:before="0" w:after="283"/>
              <w:jc w:val="right"/>
              <w:rPr/>
            </w:pPr>
            <w:r>
              <w:rPr/>
              <w:t>13,872,938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4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Accumulated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3" w:type="dxa"/>
            <w:tcBorders>
              <w:bottom w:val="single" w:sz="2" w:space="0" w:color="000000"/>
            </w:tcBorders>
            <w:tcMar>
              <w:bottom w:w="50" w:type="dxa"/>
            </w:tcMar>
            <w:vAlign w:val="center"/>
          </w:tcPr>
          <w:p>
            <w:pPr>
              <w:pStyle w:val="TableContents"/>
              <w:bidi w:val="0"/>
              <w:spacing w:before="0" w:after="283"/>
              <w:jc w:val="right"/>
              <w:rPr/>
            </w:pPr>
            <w:r>
              <w:rPr/>
              <w:t>​</w:t>
            </w:r>
          </w:p>
        </w:tc>
        <w:tc>
          <w:tcPr>
            <w:tcW w:w="1501" w:type="dxa"/>
            <w:tcBorders>
              <w:bottom w:val="single" w:sz="2" w:space="0" w:color="000000"/>
            </w:tcBorders>
            <w:tcMar>
              <w:bottom w:w="50" w:type="dxa"/>
            </w:tcMar>
            <w:vAlign w:val="center"/>
          </w:tcPr>
          <w:p>
            <w:pPr>
              <w:pStyle w:val="TableContents"/>
              <w:bidi w:val="0"/>
              <w:spacing w:before="0" w:after="283"/>
              <w:jc w:val="right"/>
              <w:rPr/>
            </w:pPr>
            <w:r>
              <w:rPr/>
              <w:t>(13,434,558)</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5" w:type="dxa"/>
            <w:tcBorders>
              <w:bottom w:val="single" w:sz="2" w:space="0" w:color="000000"/>
            </w:tcBorders>
            <w:tcMar>
              <w:bottom w:w="50" w:type="dxa"/>
            </w:tcMar>
            <w:vAlign w:val="center"/>
          </w:tcPr>
          <w:p>
            <w:pPr>
              <w:pStyle w:val="TableContents"/>
              <w:bidi w:val="0"/>
              <w:spacing w:before="0" w:after="283"/>
              <w:jc w:val="right"/>
              <w:rPr/>
            </w:pPr>
            <w:r>
              <w:rPr/>
              <w:t>(13,449,504)</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444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member’s capital</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01" w:type="dxa"/>
            <w:tcBorders>
              <w:bottom w:val="single" w:sz="2" w:space="0" w:color="000000"/>
            </w:tcBorders>
            <w:shd w:fill="CCEEFF" w:val="clear"/>
            <w:tcMar>
              <w:bottom w:w="50" w:type="dxa"/>
            </w:tcMar>
            <w:vAlign w:val="center"/>
          </w:tcPr>
          <w:p>
            <w:pPr>
              <w:pStyle w:val="TableContents"/>
              <w:bidi w:val="0"/>
              <w:spacing w:before="0" w:after="283"/>
              <w:jc w:val="right"/>
              <w:rPr/>
            </w:pPr>
            <w:r>
              <w:rPr/>
              <w:t>441,521</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5" w:type="dxa"/>
            <w:tcBorders>
              <w:bottom w:val="single" w:sz="2" w:space="0" w:color="000000"/>
            </w:tcBorders>
            <w:shd w:fill="CCEEFF" w:val="clear"/>
            <w:tcMar>
              <w:bottom w:w="50" w:type="dxa"/>
            </w:tcMar>
            <w:vAlign w:val="center"/>
          </w:tcPr>
          <w:p>
            <w:pPr>
              <w:pStyle w:val="TableContents"/>
              <w:bidi w:val="0"/>
              <w:spacing w:before="0" w:after="283"/>
              <w:jc w:val="right"/>
              <w:rPr/>
            </w:pPr>
            <w:r>
              <w:rPr/>
              <w:t>423,434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43" w:type="dxa"/>
            <w:tcBorders/>
            <w:tcMar>
              <w:bottom w:w="0" w:type="dxa"/>
            </w:tcMar>
            <w:vAlign w:val="center"/>
          </w:tcPr>
          <w:p>
            <w:pPr>
              <w:pStyle w:val="TableContents"/>
              <w:bidi w:val="0"/>
              <w:spacing w:before="0" w:after="0"/>
              <w:jc w:val="left"/>
              <w:rPr/>
            </w:pPr>
            <w:r>
              <w:rPr>
                <w:spacing w:val="-4"/>
              </w:rPr>
              <w:t>Total liabilities and member’s capital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3" w:type="dxa"/>
            <w:tcBorders>
              <w:bottom w:val="double" w:sz="8" w:space="0" w:color="000000"/>
            </w:tcBorders>
            <w:tcMar>
              <w:bottom w:w="50" w:type="dxa"/>
            </w:tcMar>
            <w:vAlign w:val="center"/>
          </w:tcPr>
          <w:p>
            <w:pPr>
              <w:pStyle w:val="TableContents"/>
              <w:bidi w:val="0"/>
              <w:spacing w:before="0" w:after="283"/>
              <w:jc w:val="right"/>
              <w:rPr/>
            </w:pPr>
            <w:r>
              <w:rPr/>
              <w:t>$</w:t>
            </w:r>
          </w:p>
        </w:tc>
        <w:tc>
          <w:tcPr>
            <w:tcW w:w="1501" w:type="dxa"/>
            <w:tcBorders>
              <w:bottom w:val="double" w:sz="8" w:space="0" w:color="000000"/>
            </w:tcBorders>
            <w:tcMar>
              <w:bottom w:w="50" w:type="dxa"/>
            </w:tcMar>
            <w:vAlign w:val="center"/>
          </w:tcPr>
          <w:p>
            <w:pPr>
              <w:pStyle w:val="TableContents"/>
              <w:bidi w:val="0"/>
              <w:spacing w:before="0" w:after="283"/>
              <w:jc w:val="right"/>
              <w:rPr/>
            </w:pPr>
            <w:r>
              <w:rPr/>
              <w:t>443,089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35" w:type="dxa"/>
            <w:tcBorders>
              <w:bottom w:val="double" w:sz="8" w:space="0" w:color="000000"/>
            </w:tcBorders>
            <w:tcMar>
              <w:bottom w:w="50" w:type="dxa"/>
            </w:tcMar>
            <w:vAlign w:val="center"/>
          </w:tcPr>
          <w:p>
            <w:pPr>
              <w:pStyle w:val="TableContents"/>
              <w:bidi w:val="0"/>
              <w:spacing w:before="0" w:after="283"/>
              <w:jc w:val="right"/>
              <w:rPr/>
            </w:pPr>
            <w:r>
              <w:rPr/>
              <w:t>430,549</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condensed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fUCSO"/>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CONDENSED STATEMENTS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FOR THE THREE AND SIX MONTHS ENDED DECEMBER 31, 2025 AND 2024</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406"/>
        <w:gridCol w:w="109"/>
        <w:gridCol w:w="109"/>
        <w:gridCol w:w="109"/>
        <w:gridCol w:w="226"/>
        <w:gridCol w:w="870"/>
        <w:gridCol w:w="109"/>
        <w:gridCol w:w="109"/>
        <w:gridCol w:w="109"/>
        <w:gridCol w:w="109"/>
        <w:gridCol w:w="226"/>
        <w:gridCol w:w="870"/>
        <w:gridCol w:w="109"/>
        <w:gridCol w:w="109"/>
        <w:gridCol w:w="109"/>
        <w:gridCol w:w="109"/>
        <w:gridCol w:w="226"/>
        <w:gridCol w:w="990"/>
        <w:gridCol w:w="109"/>
        <w:gridCol w:w="109"/>
        <w:gridCol w:w="109"/>
        <w:gridCol w:w="109"/>
        <w:gridCol w:w="226"/>
        <w:gridCol w:w="870"/>
        <w:gridCol w:w="109"/>
        <w:gridCol w:w="158"/>
      </w:tblGrid>
      <w:tr>
        <w:trPr/>
        <w:tc>
          <w:tcPr>
            <w:tcW w:w="24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46"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Three Months Ended</w:t>
            </w:r>
            <w:r>
              <w:rPr/>
              <w:t xml:space="preserve"> </w:t>
              <w:br/>
            </w:r>
            <w:r>
              <w:rPr>
                <w:spacing w:val="-3"/>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66"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Six Months Ended</w:t>
            </w:r>
            <w:r>
              <w:rPr/>
              <w:t xml:space="preserve"> </w:t>
              <w:br/>
            </w:r>
            <w:r>
              <w:rPr>
                <w:spacing w:val="-3"/>
              </w:rPr>
              <w:t xml:space="preserve">December 31,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4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406" w:type="dxa"/>
            <w:tcBorders/>
            <w:shd w:fill="CCEEFF" w:val="clear"/>
            <w:tcMar>
              <w:bottom w:w="0" w:type="dxa"/>
            </w:tcMar>
            <w:vAlign w:val="center"/>
          </w:tcPr>
          <w:p>
            <w:pPr>
              <w:pStyle w:val="TableContents"/>
              <w:bidi w:val="0"/>
              <w:spacing w:before="0" w:after="283"/>
              <w:jc w:val="left"/>
              <w:rPr/>
            </w:pPr>
            <w:r>
              <w:rPr>
                <w:spacing w:val="-4"/>
              </w:rPr>
              <w:t>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9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406" w:type="dxa"/>
            <w:tcBorders/>
            <w:tcMar>
              <w:bottom w:w="0" w:type="dxa"/>
            </w:tcMar>
            <w:vAlign w:val="center"/>
          </w:tcPr>
          <w:p>
            <w:pPr>
              <w:pStyle w:val="TableContents"/>
              <w:bidi w:val="0"/>
              <w:spacing w:before="0" w:after="0"/>
              <w:jc w:val="left"/>
              <w:rPr>
                <w:spacing w:val="4"/>
              </w:rPr>
            </w:pPr>
            <w:r>
              <w:rPr>
                <w:spacing w:val="4"/>
              </w:rPr>
              <w:t xml:space="preserve">Exploration and evaluation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0" w:type="dxa"/>
            <w:tcBorders/>
            <w:tcMar>
              <w:bottom w:w="0" w:type="dxa"/>
            </w:tcMar>
            <w:vAlign w:val="center"/>
          </w:tcPr>
          <w:p>
            <w:pPr>
              <w:pStyle w:val="TableContents"/>
              <w:bidi w:val="0"/>
              <w:spacing w:before="0" w:after="283"/>
              <w:jc w:val="right"/>
              <w:rPr/>
            </w:pPr>
            <w:r>
              <w:rPr/>
              <w:t>37,007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0" w:type="dxa"/>
            <w:tcBorders/>
            <w:tcMar>
              <w:bottom w:w="0" w:type="dxa"/>
            </w:tcMar>
            <w:vAlign w:val="center"/>
          </w:tcPr>
          <w:p>
            <w:pPr>
              <w:pStyle w:val="TableContents"/>
              <w:bidi w:val="0"/>
              <w:spacing w:before="0" w:after="283"/>
              <w:jc w:val="right"/>
              <w:rPr/>
            </w:pPr>
            <w:r>
              <w:rPr/>
              <w:t>6,572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90" w:type="dxa"/>
            <w:tcBorders/>
            <w:tcMar>
              <w:bottom w:w="0" w:type="dxa"/>
            </w:tcMar>
            <w:vAlign w:val="center"/>
          </w:tcPr>
          <w:p>
            <w:pPr>
              <w:pStyle w:val="TableContents"/>
              <w:bidi w:val="0"/>
              <w:spacing w:before="0" w:after="283"/>
              <w:jc w:val="right"/>
              <w:rPr/>
            </w:pPr>
            <w:r>
              <w:rPr/>
              <w:t>86,575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0" w:type="dxa"/>
            <w:tcBorders/>
            <w:tcMar>
              <w:bottom w:w="0" w:type="dxa"/>
            </w:tcMar>
            <w:vAlign w:val="center"/>
          </w:tcPr>
          <w:p>
            <w:pPr>
              <w:pStyle w:val="TableContents"/>
              <w:bidi w:val="0"/>
              <w:spacing w:before="0" w:after="283"/>
              <w:jc w:val="right"/>
              <w:rPr/>
            </w:pPr>
            <w:r>
              <w:rPr/>
              <w:t>48,365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40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General and administration costs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0" w:type="dxa"/>
            <w:tcBorders>
              <w:bottom w:val="single" w:sz="2" w:space="0" w:color="000000"/>
            </w:tcBorders>
            <w:shd w:fill="CCEEFF" w:val="clear"/>
            <w:tcMar>
              <w:bottom w:w="50" w:type="dxa"/>
            </w:tcMar>
            <w:vAlign w:val="center"/>
          </w:tcPr>
          <w:p>
            <w:pPr>
              <w:pStyle w:val="TableContents"/>
              <w:bidi w:val="0"/>
              <w:spacing w:before="0" w:after="283"/>
              <w:jc w:val="right"/>
              <w:rPr/>
            </w:pPr>
            <w:r>
              <w:rPr/>
              <w:t>8,211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0" w:type="dxa"/>
            <w:tcBorders>
              <w:bottom w:val="single" w:sz="2" w:space="0" w:color="000000"/>
            </w:tcBorders>
            <w:shd w:fill="CCEEFF" w:val="clear"/>
            <w:tcMar>
              <w:bottom w:w="50" w:type="dxa"/>
            </w:tcMar>
            <w:vAlign w:val="center"/>
          </w:tcPr>
          <w:p>
            <w:pPr>
              <w:pStyle w:val="TableContents"/>
              <w:bidi w:val="0"/>
              <w:spacing w:before="0" w:after="283"/>
              <w:jc w:val="right"/>
              <w:rPr/>
            </w:pPr>
            <w:r>
              <w:rPr/>
              <w:t>8,971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90" w:type="dxa"/>
            <w:tcBorders>
              <w:bottom w:val="single" w:sz="2" w:space="0" w:color="000000"/>
            </w:tcBorders>
            <w:shd w:fill="CCEEFF" w:val="clear"/>
            <w:tcMar>
              <w:bottom w:w="50" w:type="dxa"/>
            </w:tcMar>
            <w:vAlign w:val="center"/>
          </w:tcPr>
          <w:p>
            <w:pPr>
              <w:pStyle w:val="TableContents"/>
              <w:bidi w:val="0"/>
              <w:spacing w:before="0" w:after="283"/>
              <w:jc w:val="right"/>
              <w:rPr/>
            </w:pPr>
            <w:r>
              <w:rPr/>
              <w:t>16,348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0" w:type="dxa"/>
            <w:tcBorders>
              <w:bottom w:val="single" w:sz="2" w:space="0" w:color="000000"/>
            </w:tcBorders>
            <w:shd w:fill="CCEEFF" w:val="clear"/>
            <w:tcMar>
              <w:bottom w:w="50" w:type="dxa"/>
            </w:tcMar>
            <w:vAlign w:val="center"/>
          </w:tcPr>
          <w:p>
            <w:pPr>
              <w:pStyle w:val="TableContents"/>
              <w:bidi w:val="0"/>
              <w:spacing w:before="0" w:after="283"/>
              <w:jc w:val="right"/>
              <w:rPr/>
            </w:pPr>
            <w:r>
              <w:rPr/>
              <w:t>17,640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406" w:type="dxa"/>
            <w:tcBorders>
              <w:bottom w:val="single" w:sz="2" w:space="0" w:color="FFFFFF"/>
            </w:tcBorders>
            <w:tcMar>
              <w:bottom w:w="50" w:type="dxa"/>
            </w:tcMar>
            <w:vAlign w:val="center"/>
          </w:tcPr>
          <w:p>
            <w:pPr>
              <w:pStyle w:val="TableContents"/>
              <w:bidi w:val="0"/>
              <w:spacing w:before="0" w:after="0"/>
              <w:jc w:val="left"/>
              <w:rPr/>
            </w:pPr>
            <w:r>
              <w:rPr>
                <w:spacing w:val="-4"/>
              </w:rPr>
              <w:t>Total expenses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0" w:type="dxa"/>
            <w:tcBorders>
              <w:bottom w:val="single" w:sz="2" w:space="0" w:color="000000"/>
            </w:tcBorders>
            <w:tcMar>
              <w:bottom w:w="50" w:type="dxa"/>
            </w:tcMar>
            <w:vAlign w:val="center"/>
          </w:tcPr>
          <w:p>
            <w:pPr>
              <w:pStyle w:val="TableContents"/>
              <w:bidi w:val="0"/>
              <w:spacing w:before="0" w:after="283"/>
              <w:jc w:val="right"/>
              <w:rPr/>
            </w:pPr>
            <w:r>
              <w:rPr/>
              <w:t>(45,218)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0" w:type="dxa"/>
            <w:tcBorders>
              <w:bottom w:val="single" w:sz="2" w:space="0" w:color="000000"/>
            </w:tcBorders>
            <w:tcMar>
              <w:bottom w:w="50" w:type="dxa"/>
            </w:tcMar>
            <w:vAlign w:val="center"/>
          </w:tcPr>
          <w:p>
            <w:pPr>
              <w:pStyle w:val="TableContents"/>
              <w:bidi w:val="0"/>
              <w:spacing w:before="0" w:after="283"/>
              <w:jc w:val="right"/>
              <w:rPr/>
            </w:pPr>
            <w:r>
              <w:rPr/>
              <w:t>(15,543)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90" w:type="dxa"/>
            <w:tcBorders>
              <w:bottom w:val="single" w:sz="2" w:space="0" w:color="000000"/>
            </w:tcBorders>
            <w:tcMar>
              <w:bottom w:w="50" w:type="dxa"/>
            </w:tcMar>
            <w:vAlign w:val="center"/>
          </w:tcPr>
          <w:p>
            <w:pPr>
              <w:pStyle w:val="TableContents"/>
              <w:bidi w:val="0"/>
              <w:spacing w:before="0" w:after="283"/>
              <w:jc w:val="right"/>
              <w:rPr/>
            </w:pPr>
            <w:r>
              <w:rPr/>
              <w:t>(102,923)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0" w:type="dxa"/>
            <w:tcBorders>
              <w:bottom w:val="single" w:sz="2" w:space="0" w:color="000000"/>
            </w:tcBorders>
            <w:tcMar>
              <w:bottom w:w="50" w:type="dxa"/>
            </w:tcMar>
            <w:vAlign w:val="center"/>
          </w:tcPr>
          <w:p>
            <w:pPr>
              <w:pStyle w:val="TableContents"/>
              <w:bidi w:val="0"/>
              <w:spacing w:before="0" w:after="283"/>
              <w:jc w:val="right"/>
              <w:rPr/>
            </w:pPr>
            <w:r>
              <w:rPr/>
              <w:t>(66,005)</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406" w:type="dxa"/>
            <w:tcBorders/>
            <w:shd w:fill="CCEEFF" w:val="clear"/>
            <w:tcMar>
              <w:bottom w:w="0" w:type="dxa"/>
            </w:tcMar>
            <w:vAlign w:val="center"/>
          </w:tcPr>
          <w:p>
            <w:pPr>
              <w:pStyle w:val="TableContents"/>
              <w:bidi w:val="0"/>
              <w:spacing w:before="0" w:after="283"/>
              <w:jc w:val="left"/>
              <w:rPr/>
            </w:pPr>
            <w:r>
              <w:rPr>
                <w:spacing w:val="-4"/>
              </w:rPr>
              <w:t>Other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9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40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0" w:type="dxa"/>
            <w:tcBorders>
              <w:bottom w:val="single" w:sz="2" w:space="0" w:color="000000"/>
            </w:tcBorders>
            <w:tcMar>
              <w:bottom w:w="50" w:type="dxa"/>
            </w:tcMar>
            <w:vAlign w:val="center"/>
          </w:tcPr>
          <w:p>
            <w:pPr>
              <w:pStyle w:val="TableContents"/>
              <w:bidi w:val="0"/>
              <w:spacing w:before="0" w:after="283"/>
              <w:jc w:val="right"/>
              <w:rPr/>
            </w:pPr>
            <w:r>
              <w:rPr/>
              <w:t>27,775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0"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90" w:type="dxa"/>
            <w:tcBorders>
              <w:bottom w:val="single" w:sz="2" w:space="0" w:color="000000"/>
            </w:tcBorders>
            <w:tcMar>
              <w:bottom w:w="50" w:type="dxa"/>
            </w:tcMar>
            <w:vAlign w:val="center"/>
          </w:tcPr>
          <w:p>
            <w:pPr>
              <w:pStyle w:val="TableContents"/>
              <w:bidi w:val="0"/>
              <w:spacing w:before="0" w:after="283"/>
              <w:jc w:val="right"/>
              <w:rPr/>
            </w:pPr>
            <w:r>
              <w:rPr/>
              <w:t>117,869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0"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406" w:type="dxa"/>
            <w:tcBorders/>
            <w:shd w:fill="CCEEFF" w:val="clear"/>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0" w:type="dxa"/>
            <w:tcBorders>
              <w:bottom w:val="double" w:sz="8" w:space="0" w:color="000000"/>
            </w:tcBorders>
            <w:shd w:fill="CCEEFF" w:val="clear"/>
            <w:tcMar>
              <w:bottom w:w="50" w:type="dxa"/>
            </w:tcMar>
            <w:vAlign w:val="center"/>
          </w:tcPr>
          <w:p>
            <w:pPr>
              <w:pStyle w:val="TableContents"/>
              <w:bidi w:val="0"/>
              <w:spacing w:before="0" w:after="283"/>
              <w:jc w:val="right"/>
              <w:rPr/>
            </w:pPr>
            <w:r>
              <w:rPr/>
              <w:t>(17,443)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0" w:type="dxa"/>
            <w:tcBorders>
              <w:bottom w:val="double" w:sz="8" w:space="0" w:color="000000"/>
            </w:tcBorders>
            <w:shd w:fill="CCEEFF" w:val="clear"/>
            <w:tcMar>
              <w:bottom w:w="50" w:type="dxa"/>
            </w:tcMar>
            <w:vAlign w:val="center"/>
          </w:tcPr>
          <w:p>
            <w:pPr>
              <w:pStyle w:val="TableContents"/>
              <w:bidi w:val="0"/>
              <w:spacing w:before="0" w:after="283"/>
              <w:jc w:val="right"/>
              <w:rPr/>
            </w:pPr>
            <w:r>
              <w:rPr/>
              <w:t>(15,543)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90" w:type="dxa"/>
            <w:tcBorders>
              <w:bottom w:val="double" w:sz="8" w:space="0" w:color="000000"/>
            </w:tcBorders>
            <w:shd w:fill="CCEEFF" w:val="clear"/>
            <w:tcMar>
              <w:bottom w:w="50" w:type="dxa"/>
            </w:tcMar>
            <w:vAlign w:val="center"/>
          </w:tcPr>
          <w:p>
            <w:pPr>
              <w:pStyle w:val="TableContents"/>
              <w:bidi w:val="0"/>
              <w:spacing w:before="0" w:after="283"/>
              <w:jc w:val="right"/>
              <w:rPr/>
            </w:pPr>
            <w:r>
              <w:rPr/>
              <w:t>14,946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0" w:type="dxa"/>
            <w:tcBorders>
              <w:bottom w:val="double" w:sz="8" w:space="0" w:color="000000"/>
            </w:tcBorders>
            <w:shd w:fill="CCEEFF" w:val="clear"/>
            <w:tcMar>
              <w:bottom w:w="50" w:type="dxa"/>
            </w:tcMar>
            <w:vAlign w:val="center"/>
          </w:tcPr>
          <w:p>
            <w:pPr>
              <w:pStyle w:val="TableContents"/>
              <w:bidi w:val="0"/>
              <w:spacing w:before="0" w:after="283"/>
              <w:jc w:val="right"/>
              <w:rPr/>
            </w:pPr>
            <w:r>
              <w:rPr/>
              <w:t>(66,005)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condensed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fUCSO1"/>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CONDENSED STATEMENTS OF CHANGES IN MEMBER’S CAPITAL</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THREE AND SIX MONTHS ENDED DECEMBER 31, 2025 AND 2024</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988"/>
        <w:gridCol w:w="109"/>
        <w:gridCol w:w="109"/>
        <w:gridCol w:w="109"/>
        <w:gridCol w:w="226"/>
        <w:gridCol w:w="1186"/>
        <w:gridCol w:w="109"/>
        <w:gridCol w:w="109"/>
        <w:gridCol w:w="109"/>
        <w:gridCol w:w="109"/>
        <w:gridCol w:w="226"/>
        <w:gridCol w:w="1334"/>
        <w:gridCol w:w="109"/>
        <w:gridCol w:w="109"/>
        <w:gridCol w:w="109"/>
        <w:gridCol w:w="128"/>
        <w:gridCol w:w="266"/>
        <w:gridCol w:w="1083"/>
        <w:gridCol w:w="128"/>
        <w:gridCol w:w="157"/>
      </w:tblGrid>
      <w:tr>
        <w:trPr/>
        <w:tc>
          <w:tcPr>
            <w:tcW w:w="29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Member’s</w:t>
            </w:r>
            <w:r>
              <w:rPr/>
              <w:t xml:space="preserve"> </w:t>
              <w:br/>
            </w:r>
            <w:r>
              <w:rPr>
                <w:spacing w:val="-3"/>
              </w:rPr>
              <w:t xml:space="preserve">capital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7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 member’s</w:t>
            </w:r>
            <w:r>
              <w:rPr/>
              <w:t xml:space="preserve"> </w:t>
              <w:br/>
            </w:r>
            <w:r>
              <w:rPr>
                <w:spacing w:val="-3"/>
              </w:rPr>
              <w:t xml:space="preserve">capital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2988" w:type="dxa"/>
            <w:tcBorders/>
            <w:shd w:fill="CCEEFF" w:val="clear"/>
            <w:tcMar>
              <w:bottom w:w="0" w:type="dxa"/>
            </w:tcMar>
            <w:vAlign w:val="center"/>
          </w:tcPr>
          <w:p>
            <w:pPr>
              <w:pStyle w:val="TableContents"/>
              <w:bidi w:val="0"/>
              <w:spacing w:before="0" w:after="0"/>
              <w:jc w:val="left"/>
              <w:rPr/>
            </w:pPr>
            <w:r>
              <w:rPr>
                <w:spacing w:val="-4"/>
              </w:rPr>
              <w:t>Balance as of June 30, 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13,723,074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4" w:type="dxa"/>
            <w:tcBorders/>
            <w:shd w:fill="CCEEFF" w:val="clear"/>
            <w:tcMar>
              <w:bottom w:w="0" w:type="dxa"/>
            </w:tcMar>
            <w:vAlign w:val="center"/>
          </w:tcPr>
          <w:p>
            <w:pPr>
              <w:pStyle w:val="TableContents"/>
              <w:bidi w:val="0"/>
              <w:spacing w:before="0" w:after="283"/>
              <w:jc w:val="right"/>
              <w:rPr/>
            </w:pPr>
            <w:r>
              <w:rPr/>
              <w:t>(13,295,721)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6" w:type="dxa"/>
            <w:tcBorders/>
            <w:shd w:fill="CCEEFF" w:val="clear"/>
            <w:tcMar>
              <w:bottom w:w="0" w:type="dxa"/>
            </w:tcMar>
            <w:vAlign w:val="center"/>
          </w:tcPr>
          <w:p>
            <w:pPr>
              <w:pStyle w:val="TableContents"/>
              <w:bidi w:val="0"/>
              <w:spacing w:before="0" w:after="283"/>
              <w:jc w:val="right"/>
              <w:rPr/>
            </w:pPr>
            <w:r>
              <w:rPr/>
              <w:t>$</w:t>
            </w:r>
          </w:p>
        </w:tc>
        <w:tc>
          <w:tcPr>
            <w:tcW w:w="1083" w:type="dxa"/>
            <w:tcBorders/>
            <w:shd w:fill="CCEEFF" w:val="clear"/>
            <w:tcMar>
              <w:bottom w:w="0" w:type="dxa"/>
            </w:tcMar>
            <w:vAlign w:val="center"/>
          </w:tcPr>
          <w:p>
            <w:pPr>
              <w:pStyle w:val="TableContents"/>
              <w:bidi w:val="0"/>
              <w:spacing w:before="0" w:after="283"/>
              <w:jc w:val="right"/>
              <w:rPr/>
            </w:pPr>
            <w:r>
              <w:rPr/>
              <w:t>427,353</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988" w:type="dxa"/>
            <w:tcBorders/>
            <w:tcMar>
              <w:bottom w:w="0" w:type="dxa"/>
            </w:tcMar>
            <w:vAlign w:val="center"/>
          </w:tcPr>
          <w:p>
            <w:pPr>
              <w:pStyle w:val="TableContents"/>
              <w:bidi w:val="0"/>
              <w:spacing w:before="0" w:after="0"/>
              <w:jc w:val="left"/>
              <w:rPr>
                <w:spacing w:val="4"/>
              </w:rPr>
            </w:pPr>
            <w:r>
              <w:rPr>
                <w:spacing w:val="4"/>
              </w:rPr>
              <w:t xml:space="preserve">Capital contributions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110,768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6" w:type="dxa"/>
            <w:tcBorders/>
            <w:tcMar>
              <w:bottom w:w="0" w:type="dxa"/>
            </w:tcMar>
            <w:vAlign w:val="center"/>
          </w:tcPr>
          <w:p>
            <w:pPr>
              <w:pStyle w:val="TableContents"/>
              <w:bidi w:val="0"/>
              <w:spacing w:before="0" w:after="283"/>
              <w:jc w:val="right"/>
              <w:rPr/>
            </w:pPr>
            <w:r>
              <w:rPr/>
              <w:t>​</w:t>
            </w:r>
          </w:p>
        </w:tc>
        <w:tc>
          <w:tcPr>
            <w:tcW w:w="1083" w:type="dxa"/>
            <w:tcBorders/>
            <w:tcMar>
              <w:bottom w:w="0" w:type="dxa"/>
            </w:tcMar>
            <w:vAlign w:val="center"/>
          </w:tcPr>
          <w:p>
            <w:pPr>
              <w:pStyle w:val="TableContents"/>
              <w:bidi w:val="0"/>
              <w:spacing w:before="0" w:after="283"/>
              <w:jc w:val="right"/>
              <w:rPr/>
            </w:pPr>
            <w:r>
              <w:rPr/>
              <w:t>110,768</w:t>
            </w:r>
          </w:p>
        </w:tc>
        <w:tc>
          <w:tcPr>
            <w:tcW w:w="12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98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Net loss for the period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4" w:type="dxa"/>
            <w:tcBorders>
              <w:bottom w:val="single" w:sz="2" w:space="0" w:color="000000"/>
            </w:tcBorders>
            <w:shd w:fill="CCEEFF" w:val="clear"/>
            <w:tcMar>
              <w:bottom w:w="50" w:type="dxa"/>
            </w:tcMar>
            <w:vAlign w:val="center"/>
          </w:tcPr>
          <w:p>
            <w:pPr>
              <w:pStyle w:val="TableContents"/>
              <w:bidi w:val="0"/>
              <w:spacing w:before="0" w:after="283"/>
              <w:jc w:val="right"/>
              <w:rPr/>
            </w:pPr>
            <w:r>
              <w:rPr/>
              <w:t>(66,005)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8" w:type="dxa"/>
            <w:tcBorders>
              <w:bottom w:val="single" w:sz="2" w:space="0" w:color="CCEEFF"/>
            </w:tcBorders>
            <w:shd w:fill="CCEEFF" w:val="clear"/>
            <w:vAlign w:val="center"/>
          </w:tcPr>
          <w:p>
            <w:pPr>
              <w:pStyle w:val="TableContents"/>
              <w:bidi w:val="0"/>
              <w:spacing w:before="0" w:after="283"/>
              <w:jc w:val="left"/>
              <w:rPr/>
            </w:pPr>
            <w:r>
              <w:rPr/>
              <w:t>​</w:t>
            </w:r>
          </w:p>
        </w:tc>
        <w:tc>
          <w:tcPr>
            <w:tcW w:w="2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83" w:type="dxa"/>
            <w:tcBorders>
              <w:bottom w:val="single" w:sz="2" w:space="0" w:color="000000"/>
            </w:tcBorders>
            <w:shd w:fill="CCEEFF" w:val="clear"/>
            <w:tcMar>
              <w:bottom w:w="50" w:type="dxa"/>
            </w:tcMar>
            <w:vAlign w:val="center"/>
          </w:tcPr>
          <w:p>
            <w:pPr>
              <w:pStyle w:val="TableContents"/>
              <w:bidi w:val="0"/>
              <w:spacing w:before="0" w:after="283"/>
              <w:jc w:val="right"/>
              <w:rPr/>
            </w:pPr>
            <w:r>
              <w:rPr/>
              <w:t>(66,005)</w:t>
            </w:r>
          </w:p>
        </w:tc>
        <w:tc>
          <w:tcPr>
            <w:tcW w:w="128"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988" w:type="dxa"/>
            <w:tcBorders/>
            <w:tcMar>
              <w:bottom w:w="0" w:type="dxa"/>
            </w:tcMar>
            <w:vAlign w:val="center"/>
          </w:tcPr>
          <w:p>
            <w:pPr>
              <w:pStyle w:val="TableContents"/>
              <w:bidi w:val="0"/>
              <w:spacing w:before="0" w:after="0"/>
              <w:jc w:val="left"/>
              <w:rPr/>
            </w:pPr>
            <w:r>
              <w:rPr>
                <w:spacing w:val="-4"/>
              </w:rPr>
              <w:t>Balance at December 31, 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13,833,842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34" w:type="dxa"/>
            <w:tcBorders>
              <w:bottom w:val="double" w:sz="8" w:space="0" w:color="000000"/>
            </w:tcBorders>
            <w:tcMar>
              <w:bottom w:w="50" w:type="dxa"/>
            </w:tcMar>
            <w:vAlign w:val="center"/>
          </w:tcPr>
          <w:p>
            <w:pPr>
              <w:pStyle w:val="TableContents"/>
              <w:bidi w:val="0"/>
              <w:spacing w:before="0" w:after="283"/>
              <w:jc w:val="right"/>
              <w:rPr/>
            </w:pPr>
            <w:r>
              <w:rPr/>
              <w:t>(13,361,726)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6" w:type="dxa"/>
            <w:tcBorders>
              <w:bottom w:val="double" w:sz="8" w:space="0" w:color="000000"/>
            </w:tcBorders>
            <w:tcMar>
              <w:bottom w:w="50" w:type="dxa"/>
            </w:tcMar>
            <w:vAlign w:val="center"/>
          </w:tcPr>
          <w:p>
            <w:pPr>
              <w:pStyle w:val="TableContents"/>
              <w:bidi w:val="0"/>
              <w:spacing w:before="0" w:after="283"/>
              <w:jc w:val="right"/>
              <w:rPr/>
            </w:pPr>
            <w:r>
              <w:rPr/>
              <w:t>​</w:t>
            </w:r>
          </w:p>
        </w:tc>
        <w:tc>
          <w:tcPr>
            <w:tcW w:w="1083" w:type="dxa"/>
            <w:tcBorders>
              <w:bottom w:val="double" w:sz="8" w:space="0" w:color="000000"/>
            </w:tcBorders>
            <w:tcMar>
              <w:bottom w:w="50" w:type="dxa"/>
            </w:tcMar>
            <w:vAlign w:val="center"/>
          </w:tcPr>
          <w:p>
            <w:pPr>
              <w:pStyle w:val="TableContents"/>
              <w:bidi w:val="0"/>
              <w:spacing w:before="0" w:after="283"/>
              <w:jc w:val="right"/>
              <w:rPr/>
            </w:pPr>
            <w:r>
              <w:rPr/>
              <w:t>472,116</w:t>
            </w:r>
          </w:p>
        </w:tc>
        <w:tc>
          <w:tcPr>
            <w:tcW w:w="12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988" w:type="dxa"/>
            <w:tcBorders/>
            <w:shd w:fill="CCEEFF" w:val="clear"/>
            <w:tcMar>
              <w:bottom w:w="0" w:type="dxa"/>
            </w:tcMar>
            <w:vAlign w:val="center"/>
          </w:tcPr>
          <w:p>
            <w:pPr>
              <w:pStyle w:val="TableContents"/>
              <w:bidi w:val="0"/>
              <w:spacing w:before="0" w:after="0"/>
              <w:jc w:val="left"/>
              <w:rPr/>
            </w:pPr>
            <w:r>
              <w:rPr>
                <w:spacing w:val="-4"/>
              </w:rPr>
              <w:t>Balance as of June 30,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13,872,938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4" w:type="dxa"/>
            <w:tcBorders/>
            <w:shd w:fill="CCEEFF" w:val="clear"/>
            <w:tcMar>
              <w:bottom w:w="0" w:type="dxa"/>
            </w:tcMar>
            <w:vAlign w:val="center"/>
          </w:tcPr>
          <w:p>
            <w:pPr>
              <w:pStyle w:val="TableContents"/>
              <w:bidi w:val="0"/>
              <w:spacing w:before="0" w:after="283"/>
              <w:jc w:val="right"/>
              <w:rPr/>
            </w:pPr>
            <w:r>
              <w:rPr/>
              <w:t>(13,449,504)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6" w:type="dxa"/>
            <w:tcBorders/>
            <w:shd w:fill="CCEEFF" w:val="clear"/>
            <w:tcMar>
              <w:bottom w:w="0" w:type="dxa"/>
            </w:tcMar>
            <w:vAlign w:val="center"/>
          </w:tcPr>
          <w:p>
            <w:pPr>
              <w:pStyle w:val="TableContents"/>
              <w:bidi w:val="0"/>
              <w:spacing w:before="0" w:after="283"/>
              <w:jc w:val="right"/>
              <w:rPr/>
            </w:pPr>
            <w:r>
              <w:rPr/>
              <w:t>​</w:t>
            </w:r>
          </w:p>
        </w:tc>
        <w:tc>
          <w:tcPr>
            <w:tcW w:w="1083" w:type="dxa"/>
            <w:tcBorders/>
            <w:shd w:fill="CCEEFF" w:val="clear"/>
            <w:tcMar>
              <w:bottom w:w="0" w:type="dxa"/>
            </w:tcMar>
            <w:vAlign w:val="center"/>
          </w:tcPr>
          <w:p>
            <w:pPr>
              <w:pStyle w:val="TableContents"/>
              <w:bidi w:val="0"/>
              <w:spacing w:before="0" w:after="283"/>
              <w:jc w:val="right"/>
              <w:rPr/>
            </w:pPr>
            <w:r>
              <w:rPr/>
              <w:t>423,434</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988" w:type="dxa"/>
            <w:tcBorders/>
            <w:tcMar>
              <w:bottom w:w="0" w:type="dxa"/>
            </w:tcMar>
            <w:vAlign w:val="center"/>
          </w:tcPr>
          <w:p>
            <w:pPr>
              <w:pStyle w:val="TableContents"/>
              <w:bidi w:val="0"/>
              <w:spacing w:before="0" w:after="0"/>
              <w:jc w:val="left"/>
              <w:rPr>
                <w:spacing w:val="4"/>
              </w:rPr>
            </w:pPr>
            <w:r>
              <w:rPr>
                <w:spacing w:val="4"/>
              </w:rPr>
              <w:t xml:space="preserve">Capital contributions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3,141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6" w:type="dxa"/>
            <w:tcBorders/>
            <w:tcMar>
              <w:bottom w:w="0" w:type="dxa"/>
            </w:tcMar>
            <w:vAlign w:val="center"/>
          </w:tcPr>
          <w:p>
            <w:pPr>
              <w:pStyle w:val="TableContents"/>
              <w:bidi w:val="0"/>
              <w:spacing w:before="0" w:after="283"/>
              <w:jc w:val="right"/>
              <w:rPr/>
            </w:pPr>
            <w:r>
              <w:rPr/>
              <w:t>​</w:t>
            </w:r>
          </w:p>
        </w:tc>
        <w:tc>
          <w:tcPr>
            <w:tcW w:w="1083" w:type="dxa"/>
            <w:tcBorders/>
            <w:tcMar>
              <w:bottom w:w="0" w:type="dxa"/>
            </w:tcMar>
            <w:vAlign w:val="center"/>
          </w:tcPr>
          <w:p>
            <w:pPr>
              <w:pStyle w:val="TableContents"/>
              <w:bidi w:val="0"/>
              <w:spacing w:before="0" w:after="283"/>
              <w:jc w:val="right"/>
              <w:rPr/>
            </w:pPr>
            <w:r>
              <w:rPr/>
              <w:t>3,141</w:t>
            </w:r>
          </w:p>
        </w:tc>
        <w:tc>
          <w:tcPr>
            <w:tcW w:w="12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98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Net income for the period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4" w:type="dxa"/>
            <w:tcBorders>
              <w:bottom w:val="single" w:sz="2" w:space="0" w:color="000000"/>
            </w:tcBorders>
            <w:shd w:fill="CCEEFF" w:val="clear"/>
            <w:tcMar>
              <w:bottom w:w="50" w:type="dxa"/>
            </w:tcMar>
            <w:vAlign w:val="center"/>
          </w:tcPr>
          <w:p>
            <w:pPr>
              <w:pStyle w:val="TableContents"/>
              <w:bidi w:val="0"/>
              <w:spacing w:before="0" w:after="283"/>
              <w:jc w:val="right"/>
              <w:rPr/>
            </w:pPr>
            <w:r>
              <w:rPr/>
              <w:t>14,946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8" w:type="dxa"/>
            <w:tcBorders>
              <w:bottom w:val="single" w:sz="2" w:space="0" w:color="CCEEFF"/>
            </w:tcBorders>
            <w:shd w:fill="CCEEFF" w:val="clear"/>
            <w:vAlign w:val="center"/>
          </w:tcPr>
          <w:p>
            <w:pPr>
              <w:pStyle w:val="TableContents"/>
              <w:bidi w:val="0"/>
              <w:spacing w:before="0" w:after="283"/>
              <w:jc w:val="left"/>
              <w:rPr/>
            </w:pPr>
            <w:r>
              <w:rPr/>
              <w:t>​</w:t>
            </w:r>
          </w:p>
        </w:tc>
        <w:tc>
          <w:tcPr>
            <w:tcW w:w="2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83" w:type="dxa"/>
            <w:tcBorders>
              <w:bottom w:val="single" w:sz="2" w:space="0" w:color="000000"/>
            </w:tcBorders>
            <w:shd w:fill="CCEEFF" w:val="clear"/>
            <w:tcMar>
              <w:bottom w:w="50" w:type="dxa"/>
            </w:tcMar>
            <w:vAlign w:val="center"/>
          </w:tcPr>
          <w:p>
            <w:pPr>
              <w:pStyle w:val="TableContents"/>
              <w:bidi w:val="0"/>
              <w:spacing w:before="0" w:after="283"/>
              <w:jc w:val="right"/>
              <w:rPr/>
            </w:pPr>
            <w:r>
              <w:rPr/>
              <w:t>14,946</w:t>
            </w:r>
          </w:p>
        </w:tc>
        <w:tc>
          <w:tcPr>
            <w:tcW w:w="128"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988" w:type="dxa"/>
            <w:tcBorders/>
            <w:tcMar>
              <w:bottom w:w="0" w:type="dxa"/>
            </w:tcMar>
            <w:vAlign w:val="center"/>
          </w:tcPr>
          <w:p>
            <w:pPr>
              <w:pStyle w:val="TableContents"/>
              <w:bidi w:val="0"/>
              <w:spacing w:before="0" w:after="0"/>
              <w:jc w:val="left"/>
              <w:rPr/>
            </w:pPr>
            <w:r>
              <w:rPr>
                <w:spacing w:val="-4"/>
              </w:rPr>
              <w:t>Balance at December 31, 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13,876,079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34" w:type="dxa"/>
            <w:tcBorders>
              <w:bottom w:val="double" w:sz="8" w:space="0" w:color="000000"/>
            </w:tcBorders>
            <w:tcMar>
              <w:bottom w:w="50" w:type="dxa"/>
            </w:tcMar>
            <w:vAlign w:val="center"/>
          </w:tcPr>
          <w:p>
            <w:pPr>
              <w:pStyle w:val="TableContents"/>
              <w:bidi w:val="0"/>
              <w:spacing w:before="0" w:after="283"/>
              <w:jc w:val="right"/>
              <w:rPr/>
            </w:pPr>
            <w:r>
              <w:rPr/>
              <w:t>(13,434,558)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6" w:type="dxa"/>
            <w:tcBorders>
              <w:bottom w:val="double" w:sz="8" w:space="0" w:color="000000"/>
            </w:tcBorders>
            <w:tcMar>
              <w:bottom w:w="50" w:type="dxa"/>
            </w:tcMar>
            <w:vAlign w:val="center"/>
          </w:tcPr>
          <w:p>
            <w:pPr>
              <w:pStyle w:val="TableContents"/>
              <w:bidi w:val="0"/>
              <w:spacing w:before="0" w:after="283"/>
              <w:jc w:val="right"/>
              <w:rPr/>
            </w:pPr>
            <w:r>
              <w:rPr/>
              <w:t>$</w:t>
            </w:r>
          </w:p>
        </w:tc>
        <w:tc>
          <w:tcPr>
            <w:tcW w:w="1083" w:type="dxa"/>
            <w:tcBorders>
              <w:bottom w:val="double" w:sz="8" w:space="0" w:color="000000"/>
            </w:tcBorders>
            <w:tcMar>
              <w:bottom w:w="50" w:type="dxa"/>
            </w:tcMar>
            <w:vAlign w:val="center"/>
          </w:tcPr>
          <w:p>
            <w:pPr>
              <w:pStyle w:val="TableContents"/>
              <w:bidi w:val="0"/>
              <w:spacing w:before="0" w:after="283"/>
              <w:jc w:val="right"/>
              <w:rPr/>
            </w:pPr>
            <w:r>
              <w:rPr/>
              <w:t>441,521</w:t>
            </w:r>
          </w:p>
        </w:tc>
        <w:tc>
          <w:tcPr>
            <w:tcW w:w="12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3036"/>
        <w:gridCol w:w="109"/>
        <w:gridCol w:w="109"/>
        <w:gridCol w:w="109"/>
        <w:gridCol w:w="226"/>
        <w:gridCol w:w="1186"/>
        <w:gridCol w:w="109"/>
        <w:gridCol w:w="109"/>
        <w:gridCol w:w="109"/>
        <w:gridCol w:w="109"/>
        <w:gridCol w:w="226"/>
        <w:gridCol w:w="1324"/>
        <w:gridCol w:w="109"/>
        <w:gridCol w:w="109"/>
        <w:gridCol w:w="109"/>
        <w:gridCol w:w="125"/>
        <w:gridCol w:w="261"/>
        <w:gridCol w:w="1056"/>
        <w:gridCol w:w="125"/>
        <w:gridCol w:w="157"/>
      </w:tblGrid>
      <w:tr>
        <w:trPr/>
        <w:tc>
          <w:tcPr>
            <w:tcW w:w="30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Member’s</w:t>
            </w:r>
            <w:r>
              <w:rPr/>
              <w:t xml:space="preserve"> </w:t>
              <w:br/>
            </w:r>
            <w:r>
              <w:rPr>
                <w:spacing w:val="-3"/>
              </w:rPr>
              <w:t xml:space="preserve">capital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 member’s</w:t>
            </w:r>
            <w:r>
              <w:rPr/>
              <w:t xml:space="preserve"> </w:t>
              <w:br/>
            </w:r>
            <w:r>
              <w:rPr>
                <w:spacing w:val="-3"/>
              </w:rPr>
              <w:t xml:space="preserve">capital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pPr>
            <w:r>
              <w:rPr>
                <w:spacing w:val="-4"/>
              </w:rPr>
              <w:t>Balance as of September 30, 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13,819,469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4" w:type="dxa"/>
            <w:tcBorders/>
            <w:shd w:fill="CCEEFF" w:val="clear"/>
            <w:tcMar>
              <w:bottom w:w="0" w:type="dxa"/>
            </w:tcMar>
            <w:vAlign w:val="center"/>
          </w:tcPr>
          <w:p>
            <w:pPr>
              <w:pStyle w:val="TableContents"/>
              <w:bidi w:val="0"/>
              <w:spacing w:before="0" w:after="283"/>
              <w:jc w:val="right"/>
              <w:rPr/>
            </w:pPr>
            <w:r>
              <w:rPr/>
              <w:t>(13,346,183)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1056" w:type="dxa"/>
            <w:tcBorders/>
            <w:shd w:fill="CCEEFF" w:val="clear"/>
            <w:tcMar>
              <w:bottom w:w="0" w:type="dxa"/>
            </w:tcMar>
            <w:vAlign w:val="center"/>
          </w:tcPr>
          <w:p>
            <w:pPr>
              <w:pStyle w:val="TableContents"/>
              <w:bidi w:val="0"/>
              <w:spacing w:before="0" w:after="283"/>
              <w:jc w:val="right"/>
              <w:rPr/>
            </w:pPr>
            <w:r>
              <w:rPr/>
              <w:t>473,286</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jc w:val="left"/>
              <w:rPr>
                <w:spacing w:val="4"/>
              </w:rPr>
            </w:pPr>
            <w:r>
              <w:rPr>
                <w:spacing w:val="4"/>
              </w:rPr>
              <w:t xml:space="preserve">Capital contributions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14,373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1056" w:type="dxa"/>
            <w:tcBorders/>
            <w:tcMar>
              <w:bottom w:w="0" w:type="dxa"/>
            </w:tcMar>
            <w:vAlign w:val="center"/>
          </w:tcPr>
          <w:p>
            <w:pPr>
              <w:pStyle w:val="TableContents"/>
              <w:bidi w:val="0"/>
              <w:spacing w:before="0" w:after="283"/>
              <w:jc w:val="right"/>
              <w:rPr/>
            </w:pPr>
            <w:r>
              <w:rPr/>
              <w:t>14,373</w:t>
            </w:r>
          </w:p>
        </w:tc>
        <w:tc>
          <w:tcPr>
            <w:tcW w:w="12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03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Net loss for the period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4" w:type="dxa"/>
            <w:tcBorders>
              <w:bottom w:val="single" w:sz="2" w:space="0" w:color="000000"/>
            </w:tcBorders>
            <w:shd w:fill="CCEEFF" w:val="clear"/>
            <w:tcMar>
              <w:bottom w:w="50" w:type="dxa"/>
            </w:tcMar>
            <w:vAlign w:val="center"/>
          </w:tcPr>
          <w:p>
            <w:pPr>
              <w:pStyle w:val="TableContents"/>
              <w:bidi w:val="0"/>
              <w:spacing w:before="0" w:after="283"/>
              <w:jc w:val="right"/>
              <w:rPr/>
            </w:pPr>
            <w:r>
              <w:rPr/>
              <w:t>(15,543)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26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56" w:type="dxa"/>
            <w:tcBorders>
              <w:bottom w:val="single" w:sz="2" w:space="0" w:color="000000"/>
            </w:tcBorders>
            <w:shd w:fill="CCEEFF" w:val="clear"/>
            <w:tcMar>
              <w:bottom w:w="50" w:type="dxa"/>
            </w:tcMar>
            <w:vAlign w:val="center"/>
          </w:tcPr>
          <w:p>
            <w:pPr>
              <w:pStyle w:val="TableContents"/>
              <w:bidi w:val="0"/>
              <w:spacing w:before="0" w:after="283"/>
              <w:jc w:val="right"/>
              <w:rPr/>
            </w:pPr>
            <w:r>
              <w:rPr/>
              <w:t>(15,543)</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jc w:val="left"/>
              <w:rPr/>
            </w:pPr>
            <w:r>
              <w:rPr>
                <w:spacing w:val="-4"/>
              </w:rPr>
              <w:t>Balance at December 31, 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13,833,842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24" w:type="dxa"/>
            <w:tcBorders>
              <w:bottom w:val="double" w:sz="8" w:space="0" w:color="000000"/>
            </w:tcBorders>
            <w:tcMar>
              <w:bottom w:w="50" w:type="dxa"/>
            </w:tcMar>
            <w:vAlign w:val="center"/>
          </w:tcPr>
          <w:p>
            <w:pPr>
              <w:pStyle w:val="TableContents"/>
              <w:bidi w:val="0"/>
              <w:spacing w:before="0" w:after="283"/>
              <w:jc w:val="right"/>
              <w:rPr/>
            </w:pPr>
            <w:r>
              <w:rPr/>
              <w:t>(13,361,726)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1" w:type="dxa"/>
            <w:tcBorders>
              <w:bottom w:val="double" w:sz="8" w:space="0" w:color="000000"/>
            </w:tcBorders>
            <w:tcMar>
              <w:bottom w:w="50" w:type="dxa"/>
            </w:tcMar>
            <w:vAlign w:val="center"/>
          </w:tcPr>
          <w:p>
            <w:pPr>
              <w:pStyle w:val="TableContents"/>
              <w:bidi w:val="0"/>
              <w:spacing w:before="0" w:after="283"/>
              <w:jc w:val="right"/>
              <w:rPr/>
            </w:pPr>
            <w:r>
              <w:rPr/>
              <w:t>​</w:t>
            </w:r>
          </w:p>
        </w:tc>
        <w:tc>
          <w:tcPr>
            <w:tcW w:w="1056" w:type="dxa"/>
            <w:tcBorders>
              <w:bottom w:val="double" w:sz="8" w:space="0" w:color="000000"/>
            </w:tcBorders>
            <w:tcMar>
              <w:bottom w:w="50" w:type="dxa"/>
            </w:tcMar>
            <w:vAlign w:val="center"/>
          </w:tcPr>
          <w:p>
            <w:pPr>
              <w:pStyle w:val="TableContents"/>
              <w:bidi w:val="0"/>
              <w:spacing w:before="0" w:after="283"/>
              <w:jc w:val="right"/>
              <w:rPr/>
            </w:pPr>
            <w:r>
              <w:rPr/>
              <w:t>472,116</w:t>
            </w:r>
          </w:p>
        </w:tc>
        <w:tc>
          <w:tcPr>
            <w:tcW w:w="12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pPr>
            <w:r>
              <w:rPr>
                <w:spacing w:val="-4"/>
              </w:rPr>
              <w:t>Balance as of September 30,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13,882,354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4" w:type="dxa"/>
            <w:tcBorders/>
            <w:shd w:fill="CCEEFF" w:val="clear"/>
            <w:tcMar>
              <w:bottom w:w="0" w:type="dxa"/>
            </w:tcMar>
            <w:vAlign w:val="center"/>
          </w:tcPr>
          <w:p>
            <w:pPr>
              <w:pStyle w:val="TableContents"/>
              <w:bidi w:val="0"/>
              <w:spacing w:before="0" w:after="283"/>
              <w:jc w:val="right"/>
              <w:rPr/>
            </w:pPr>
            <w:r>
              <w:rPr/>
              <w:t>(13,417,115)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1056" w:type="dxa"/>
            <w:tcBorders/>
            <w:shd w:fill="CCEEFF" w:val="clear"/>
            <w:tcMar>
              <w:bottom w:w="0" w:type="dxa"/>
            </w:tcMar>
            <w:vAlign w:val="center"/>
          </w:tcPr>
          <w:p>
            <w:pPr>
              <w:pStyle w:val="TableContents"/>
              <w:bidi w:val="0"/>
              <w:spacing w:before="0" w:after="283"/>
              <w:jc w:val="right"/>
              <w:rPr/>
            </w:pPr>
            <w:r>
              <w:rPr/>
              <w:t>465,239</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jc w:val="left"/>
              <w:rPr>
                <w:spacing w:val="4"/>
              </w:rPr>
            </w:pPr>
            <w:r>
              <w:rPr>
                <w:spacing w:val="4"/>
              </w:rPr>
              <w:t xml:space="preserve">Capital contributions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(6,275)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1056" w:type="dxa"/>
            <w:tcBorders/>
            <w:tcMar>
              <w:bottom w:w="0" w:type="dxa"/>
            </w:tcMar>
            <w:vAlign w:val="center"/>
          </w:tcPr>
          <w:p>
            <w:pPr>
              <w:pStyle w:val="TableContents"/>
              <w:bidi w:val="0"/>
              <w:spacing w:before="0" w:after="283"/>
              <w:jc w:val="right"/>
              <w:rPr/>
            </w:pPr>
            <w:r>
              <w:rPr/>
              <w:t>(6,275)</w:t>
            </w:r>
          </w:p>
        </w:tc>
        <w:tc>
          <w:tcPr>
            <w:tcW w:w="12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03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Net loss for the period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4" w:type="dxa"/>
            <w:tcBorders>
              <w:bottom w:val="single" w:sz="2" w:space="0" w:color="000000"/>
            </w:tcBorders>
            <w:shd w:fill="CCEEFF" w:val="clear"/>
            <w:tcMar>
              <w:bottom w:w="50" w:type="dxa"/>
            </w:tcMar>
            <w:vAlign w:val="center"/>
          </w:tcPr>
          <w:p>
            <w:pPr>
              <w:pStyle w:val="TableContents"/>
              <w:bidi w:val="0"/>
              <w:spacing w:before="0" w:after="283"/>
              <w:jc w:val="right"/>
              <w:rPr/>
            </w:pPr>
            <w:r>
              <w:rPr/>
              <w:t>(17,443)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26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56" w:type="dxa"/>
            <w:tcBorders>
              <w:bottom w:val="single" w:sz="2" w:space="0" w:color="000000"/>
            </w:tcBorders>
            <w:shd w:fill="CCEEFF" w:val="clear"/>
            <w:tcMar>
              <w:bottom w:w="50" w:type="dxa"/>
            </w:tcMar>
            <w:vAlign w:val="center"/>
          </w:tcPr>
          <w:p>
            <w:pPr>
              <w:pStyle w:val="TableContents"/>
              <w:bidi w:val="0"/>
              <w:spacing w:before="0" w:after="283"/>
              <w:jc w:val="right"/>
              <w:rPr/>
            </w:pPr>
            <w:r>
              <w:rPr/>
              <w:t>(17,443)</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jc w:val="left"/>
              <w:rPr/>
            </w:pPr>
            <w:r>
              <w:rPr>
                <w:spacing w:val="-4"/>
              </w:rPr>
              <w:t>Balance at December 31, 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13,876,079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24" w:type="dxa"/>
            <w:tcBorders>
              <w:bottom w:val="double" w:sz="8" w:space="0" w:color="000000"/>
            </w:tcBorders>
            <w:tcMar>
              <w:bottom w:w="50" w:type="dxa"/>
            </w:tcMar>
            <w:vAlign w:val="center"/>
          </w:tcPr>
          <w:p>
            <w:pPr>
              <w:pStyle w:val="TableContents"/>
              <w:bidi w:val="0"/>
              <w:spacing w:before="0" w:after="283"/>
              <w:jc w:val="right"/>
              <w:rPr/>
            </w:pPr>
            <w:r>
              <w:rPr/>
              <w:t>(13,434,558)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1" w:type="dxa"/>
            <w:tcBorders>
              <w:bottom w:val="double" w:sz="8" w:space="0" w:color="000000"/>
            </w:tcBorders>
            <w:tcMar>
              <w:bottom w:w="50" w:type="dxa"/>
            </w:tcMar>
            <w:vAlign w:val="center"/>
          </w:tcPr>
          <w:p>
            <w:pPr>
              <w:pStyle w:val="TableContents"/>
              <w:bidi w:val="0"/>
              <w:spacing w:before="0" w:after="283"/>
              <w:jc w:val="right"/>
              <w:rPr/>
            </w:pPr>
            <w:r>
              <w:rPr/>
              <w:t>$</w:t>
            </w:r>
          </w:p>
        </w:tc>
        <w:tc>
          <w:tcPr>
            <w:tcW w:w="1056" w:type="dxa"/>
            <w:tcBorders>
              <w:bottom w:val="double" w:sz="8" w:space="0" w:color="000000"/>
            </w:tcBorders>
            <w:tcMar>
              <w:bottom w:w="50" w:type="dxa"/>
            </w:tcMar>
            <w:vAlign w:val="center"/>
          </w:tcPr>
          <w:p>
            <w:pPr>
              <w:pStyle w:val="TableContents"/>
              <w:bidi w:val="0"/>
              <w:spacing w:before="0" w:after="283"/>
              <w:jc w:val="right"/>
              <w:rPr/>
            </w:pPr>
            <w:r>
              <w:rPr/>
              <w:t>441,521</w:t>
            </w:r>
          </w:p>
        </w:tc>
        <w:tc>
          <w:tcPr>
            <w:tcW w:w="12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condensed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fUCSO2"/>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CONDENSED STATEMENTS OF CASH FLOWS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SIX MONTHS ENDED DECEMBER 31, 2025 AND 2024</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73"/>
        <w:gridCol w:w="109"/>
        <w:gridCol w:w="109"/>
        <w:gridCol w:w="119"/>
        <w:gridCol w:w="249"/>
        <w:gridCol w:w="980"/>
        <w:gridCol w:w="121"/>
        <w:gridCol w:w="109"/>
        <w:gridCol w:w="109"/>
        <w:gridCol w:w="109"/>
        <w:gridCol w:w="226"/>
        <w:gridCol w:w="1033"/>
        <w:gridCol w:w="109"/>
        <w:gridCol w:w="157"/>
      </w:tblGrid>
      <w:tr>
        <w:trPr/>
        <w:tc>
          <w:tcPr>
            <w:tcW w:w="52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December 31,</w:t>
            </w:r>
            <w:r>
              <w:rPr/>
              <w:t xml:space="preserve"> </w:t>
              <w:br/>
            </w: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December 31,</w:t>
            </w:r>
            <w:r>
              <w:rPr/>
              <w:t xml:space="preserve"> </w:t>
              <w:br/>
            </w:r>
            <w:r>
              <w:rPr>
                <w:spacing w:val="-3"/>
              </w:rPr>
              <w:t xml:space="preserve">2024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73" w:type="dxa"/>
            <w:tcBorders/>
            <w:shd w:fill="CCEEFF" w:val="clear"/>
            <w:tcMar>
              <w:bottom w:w="0" w:type="dxa"/>
            </w:tcMar>
            <w:vAlign w:val="center"/>
          </w:tcPr>
          <w:p>
            <w:pPr>
              <w:pStyle w:val="TableContents"/>
              <w:bidi w:val="0"/>
              <w:spacing w:before="0" w:after="283"/>
              <w:jc w:val="left"/>
              <w:rPr/>
            </w:pPr>
            <w:r>
              <w:rPr>
                <w:spacing w:val="-4"/>
              </w:rPr>
              <w:t>Cash flows from operating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73" w:type="dxa"/>
            <w:tcBorders/>
            <w:tcMar>
              <w:bottom w:w="0" w:type="dxa"/>
            </w:tcMar>
            <w:vAlign w:val="center"/>
          </w:tcPr>
          <w:p>
            <w:pPr>
              <w:pStyle w:val="TableContents"/>
              <w:bidi w:val="0"/>
              <w:spacing w:before="0" w:after="0"/>
              <w:jc w:val="left"/>
              <w:rPr>
                <w:spacing w:val="4"/>
              </w:rPr>
            </w:pPr>
            <w:r>
              <w:rPr>
                <w:spacing w:val="4"/>
              </w:rPr>
              <w:t xml:space="preserve">Net 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14,946</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3" w:type="dxa"/>
            <w:tcBorders/>
            <w:tcMar>
              <w:bottom w:w="0" w:type="dxa"/>
            </w:tcMar>
            <w:vAlign w:val="center"/>
          </w:tcPr>
          <w:p>
            <w:pPr>
              <w:pStyle w:val="TableContents"/>
              <w:bidi w:val="0"/>
              <w:spacing w:before="0" w:after="283"/>
              <w:jc w:val="right"/>
              <w:rPr/>
            </w:pPr>
            <w:r>
              <w:rPr/>
              <w:t>(66,005)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73" w:type="dxa"/>
            <w:tcBorders/>
            <w:shd w:fill="CCEEFF" w:val="clear"/>
            <w:tcMar>
              <w:bottom w:w="0" w:type="dxa"/>
            </w:tcMar>
            <w:vAlign w:val="center"/>
          </w:tcPr>
          <w:p>
            <w:pPr>
              <w:pStyle w:val="TableContents"/>
              <w:bidi w:val="0"/>
              <w:spacing w:before="0" w:after="283"/>
              <w:jc w:val="left"/>
              <w:rPr>
                <w:spacing w:val="4"/>
              </w:rPr>
            </w:pPr>
            <w:r>
              <w:rPr>
                <w:spacing w:val="4"/>
              </w:rPr>
              <w:t xml:space="preserve">Non-cash items: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73" w:type="dxa"/>
            <w:tcBorders/>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6,559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3" w:type="dxa"/>
            <w:tcBorders/>
            <w:tcMar>
              <w:bottom w:w="0" w:type="dxa"/>
            </w:tcMar>
            <w:vAlign w:val="center"/>
          </w:tcPr>
          <w:p>
            <w:pPr>
              <w:pStyle w:val="TableContents"/>
              <w:bidi w:val="0"/>
              <w:spacing w:before="0" w:after="283"/>
              <w:jc w:val="right"/>
              <w:rPr/>
            </w:pPr>
            <w:r>
              <w:rPr/>
              <w:t>6,557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73" w:type="dxa"/>
            <w:tcBorders/>
            <w:shd w:fill="CCEEFF" w:val="clear"/>
            <w:tcMar>
              <w:bottom w:w="0" w:type="dxa"/>
            </w:tcMar>
            <w:vAlign w:val="center"/>
          </w:tcPr>
          <w:p>
            <w:pPr>
              <w:pStyle w:val="TableContents"/>
              <w:bidi w:val="0"/>
              <w:spacing w:before="0" w:after="283"/>
              <w:jc w:val="left"/>
              <w:rPr>
                <w:spacing w:val="4"/>
              </w:rPr>
            </w:pPr>
            <w:r>
              <w:rPr>
                <w:spacing w:val="4"/>
              </w:rPr>
              <w:t xml:space="preserve">Changes in operating working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73" w:type="dxa"/>
            <w:tcBorders/>
            <w:tcMar>
              <w:bottom w:w="0" w:type="dxa"/>
            </w:tcMar>
            <w:vAlign w:val="center"/>
          </w:tcPr>
          <w:p>
            <w:pPr>
              <w:pStyle w:val="TableContents"/>
              <w:bidi w:val="0"/>
              <w:spacing w:before="0" w:after="0"/>
              <w:jc w:val="left"/>
              <w:rPr>
                <w:spacing w:val="4"/>
              </w:rPr>
            </w:pPr>
            <w:r>
              <w:rPr>
                <w:spacing w:val="4"/>
              </w:rPr>
              <w:t xml:space="preserve">Prepaids and 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(34,097)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3" w:type="dxa"/>
            <w:tcBorders/>
            <w:tcMar>
              <w:bottom w:w="0" w:type="dxa"/>
            </w:tcMar>
            <w:vAlign w:val="center"/>
          </w:tcPr>
          <w:p>
            <w:pPr>
              <w:pStyle w:val="TableContents"/>
              <w:bidi w:val="0"/>
              <w:spacing w:before="0" w:after="283"/>
              <w:jc w:val="right"/>
              <w:rPr/>
            </w:pPr>
            <w:r>
              <w:rPr/>
              <w:t>(42,219)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73" w:type="dxa"/>
            <w:tcBorders/>
            <w:shd w:fill="CCEEFF" w:val="clear"/>
            <w:tcMar>
              <w:bottom w:w="0" w:type="dxa"/>
            </w:tcMar>
            <w:vAlign w:val="center"/>
          </w:tcPr>
          <w:p>
            <w:pPr>
              <w:pStyle w:val="TableContents"/>
              <w:bidi w:val="0"/>
              <w:spacing w:before="0" w:after="0"/>
              <w:jc w:val="left"/>
              <w:rPr>
                <w:spacing w:val="4"/>
              </w:rPr>
            </w:pPr>
            <w:r>
              <w:rPr>
                <w:spacing w:val="4"/>
              </w:rPr>
              <w:t xml:space="preserve">Accounts payable and accrued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(5,547)</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3" w:type="dxa"/>
            <w:tcBorders/>
            <w:shd w:fill="CCEEFF" w:val="clear"/>
            <w:tcMar>
              <w:bottom w:w="0" w:type="dxa"/>
            </w:tcMar>
            <w:vAlign w:val="center"/>
          </w:tcPr>
          <w:p>
            <w:pPr>
              <w:pStyle w:val="TableContents"/>
              <w:bidi w:val="0"/>
              <w:spacing w:before="0" w:after="283"/>
              <w:jc w:val="right"/>
              <w:rPr/>
            </w:pPr>
            <w:r>
              <w:rPr/>
              <w:t>(68,377)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7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Reclamation and environmental obligation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980" w:type="dxa"/>
            <w:tcBorders>
              <w:bottom w:val="single" w:sz="2" w:space="0" w:color="000000"/>
            </w:tcBorders>
            <w:tcMar>
              <w:bottom w:w="50" w:type="dxa"/>
            </w:tcMar>
            <w:vAlign w:val="center"/>
          </w:tcPr>
          <w:p>
            <w:pPr>
              <w:pStyle w:val="TableContents"/>
              <w:bidi w:val="0"/>
              <w:spacing w:before="0" w:after="283"/>
              <w:jc w:val="righ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3" w:type="dxa"/>
            <w:tcBorders>
              <w:bottom w:val="single" w:sz="2" w:space="0" w:color="000000"/>
            </w:tcBorders>
            <w:tcMar>
              <w:bottom w:w="50" w:type="dxa"/>
            </w:tcMar>
            <w:vAlign w:val="center"/>
          </w:tcPr>
          <w:p>
            <w:pPr>
              <w:pStyle w:val="TableContents"/>
              <w:bidi w:val="0"/>
              <w:spacing w:before="0" w:after="283"/>
              <w:jc w:val="right"/>
              <w:rPr/>
            </w:pPr>
            <w:r>
              <w:rPr/>
              <w:t>(2,000)</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7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Net cash used in operating activities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0" w:type="dxa"/>
            <w:tcBorders>
              <w:bottom w:val="single" w:sz="2" w:space="0" w:color="000000"/>
            </w:tcBorders>
            <w:shd w:fill="CCEEFF" w:val="clear"/>
            <w:tcMar>
              <w:bottom w:w="50" w:type="dxa"/>
            </w:tcMar>
            <w:vAlign w:val="center"/>
          </w:tcPr>
          <w:p>
            <w:pPr>
              <w:pStyle w:val="TableContents"/>
              <w:bidi w:val="0"/>
              <w:spacing w:before="0" w:after="283"/>
              <w:jc w:val="right"/>
              <w:rPr/>
            </w:pPr>
            <w:r>
              <w:rPr/>
              <w:t>(18,139)</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3" w:type="dxa"/>
            <w:tcBorders>
              <w:bottom w:val="single" w:sz="2" w:space="0" w:color="000000"/>
            </w:tcBorders>
            <w:shd w:fill="CCEEFF" w:val="clear"/>
            <w:tcMar>
              <w:bottom w:w="50" w:type="dxa"/>
            </w:tcMar>
            <w:vAlign w:val="center"/>
          </w:tcPr>
          <w:p>
            <w:pPr>
              <w:pStyle w:val="TableContents"/>
              <w:bidi w:val="0"/>
              <w:spacing w:before="0" w:after="283"/>
              <w:jc w:val="right"/>
              <w:rPr/>
            </w:pPr>
            <w:r>
              <w:rPr/>
              <w:t>(172,044)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73" w:type="dxa"/>
            <w:tcBorders/>
            <w:tcMar>
              <w:bottom w:w="0" w:type="dxa"/>
            </w:tcMar>
            <w:vAlign w:val="center"/>
          </w:tcPr>
          <w:p>
            <w:pPr>
              <w:pStyle w:val="TableContents"/>
              <w:bidi w:val="0"/>
              <w:spacing w:before="0" w:after="283"/>
              <w:jc w:val="left"/>
              <w:rPr/>
            </w:pPr>
            <w:r>
              <w:rPr>
                <w:spacing w:val="-4"/>
              </w:rPr>
              <w:t>Cash flows from financing activities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7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Capital contributions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0" w:type="dxa"/>
            <w:tcBorders>
              <w:bottom w:val="single" w:sz="2" w:space="0" w:color="000000"/>
            </w:tcBorders>
            <w:shd w:fill="CCEEFF" w:val="clear"/>
            <w:tcMar>
              <w:bottom w:w="50" w:type="dxa"/>
            </w:tcMar>
            <w:vAlign w:val="center"/>
          </w:tcPr>
          <w:p>
            <w:pPr>
              <w:pStyle w:val="TableContents"/>
              <w:bidi w:val="0"/>
              <w:spacing w:before="0" w:after="283"/>
              <w:jc w:val="right"/>
              <w:rPr/>
            </w:pPr>
            <w:r>
              <w:rPr/>
              <w:t>3,141</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33" w:type="dxa"/>
            <w:tcBorders>
              <w:bottom w:val="single" w:sz="2" w:space="0" w:color="000000"/>
            </w:tcBorders>
            <w:shd w:fill="CCEEFF" w:val="clear"/>
            <w:tcMar>
              <w:bottom w:w="50" w:type="dxa"/>
            </w:tcMar>
            <w:vAlign w:val="center"/>
          </w:tcPr>
          <w:p>
            <w:pPr>
              <w:pStyle w:val="TableContents"/>
              <w:bidi w:val="0"/>
              <w:spacing w:before="0" w:after="283"/>
              <w:jc w:val="right"/>
              <w:rPr/>
            </w:pPr>
            <w:r>
              <w:rPr/>
              <w:t>110,768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73" w:type="dxa"/>
            <w:tcBorders>
              <w:bottom w:val="single" w:sz="2" w:space="0" w:color="FFFFFF"/>
            </w:tcBorders>
            <w:tcMar>
              <w:bottom w:w="50" w:type="dxa"/>
            </w:tcMar>
            <w:vAlign w:val="center"/>
          </w:tcPr>
          <w:p>
            <w:pPr>
              <w:pStyle w:val="TableContents"/>
              <w:bidi w:val="0"/>
              <w:spacing w:before="0" w:after="0"/>
              <w:jc w:val="left"/>
              <w:rPr/>
            </w:pPr>
            <w:r>
              <w:rPr>
                <w:spacing w:val="-4"/>
              </w:rPr>
              <w:t>Net cash provided by financing activities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980" w:type="dxa"/>
            <w:tcBorders>
              <w:bottom w:val="single" w:sz="2" w:space="0" w:color="000000"/>
            </w:tcBorders>
            <w:tcMar>
              <w:bottom w:w="50" w:type="dxa"/>
            </w:tcMar>
            <w:vAlign w:val="center"/>
          </w:tcPr>
          <w:p>
            <w:pPr>
              <w:pStyle w:val="TableContents"/>
              <w:bidi w:val="0"/>
              <w:spacing w:before="0" w:after="283"/>
              <w:jc w:val="right"/>
              <w:rPr/>
            </w:pPr>
            <w:r>
              <w:rPr/>
              <w:t>3,141</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3" w:type="dxa"/>
            <w:tcBorders>
              <w:bottom w:val="single" w:sz="2" w:space="0" w:color="000000"/>
            </w:tcBorders>
            <w:tcMar>
              <w:bottom w:w="50" w:type="dxa"/>
            </w:tcMar>
            <w:vAlign w:val="center"/>
          </w:tcPr>
          <w:p>
            <w:pPr>
              <w:pStyle w:val="TableContents"/>
              <w:bidi w:val="0"/>
              <w:spacing w:before="0" w:after="283"/>
              <w:jc w:val="right"/>
              <w:rPr/>
            </w:pPr>
            <w:r>
              <w:rPr/>
              <w:t>110,768</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73"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cash and 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(14,998)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3" w:type="dxa"/>
            <w:tcBorders/>
            <w:shd w:fill="CCEEFF" w:val="clear"/>
            <w:tcMar>
              <w:bottom w:w="0" w:type="dxa"/>
            </w:tcMar>
            <w:vAlign w:val="center"/>
          </w:tcPr>
          <w:p>
            <w:pPr>
              <w:pStyle w:val="TableContents"/>
              <w:bidi w:val="0"/>
              <w:spacing w:before="0" w:after="283"/>
              <w:jc w:val="right"/>
              <w:rPr/>
            </w:pPr>
            <w:r>
              <w:rPr/>
              <w:t>(61,276)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7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Cash and restricted cash at the beginning of the period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980" w:type="dxa"/>
            <w:tcBorders>
              <w:bottom w:val="single" w:sz="2" w:space="0" w:color="000000"/>
            </w:tcBorders>
            <w:tcMar>
              <w:bottom w:w="50" w:type="dxa"/>
            </w:tcMar>
            <w:vAlign w:val="center"/>
          </w:tcPr>
          <w:p>
            <w:pPr>
              <w:pStyle w:val="TableContents"/>
              <w:bidi w:val="0"/>
              <w:spacing w:before="0" w:after="283"/>
              <w:jc w:val="right"/>
              <w:rPr/>
            </w:pPr>
            <w:r>
              <w:rPr/>
              <w:t>157,691</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3" w:type="dxa"/>
            <w:tcBorders>
              <w:bottom w:val="single" w:sz="2" w:space="0" w:color="000000"/>
            </w:tcBorders>
            <w:tcMar>
              <w:bottom w:w="50" w:type="dxa"/>
            </w:tcMar>
            <w:vAlign w:val="center"/>
          </w:tcPr>
          <w:p>
            <w:pPr>
              <w:pStyle w:val="TableContents"/>
              <w:bidi w:val="0"/>
              <w:spacing w:before="0" w:after="283"/>
              <w:jc w:val="right"/>
              <w:rPr/>
            </w:pPr>
            <w:r>
              <w:rPr/>
              <w:t>227,809</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73" w:type="dxa"/>
            <w:tcBorders/>
            <w:shd w:fill="CCEEFF" w:val="clear"/>
            <w:tcMar>
              <w:bottom w:w="0" w:type="dxa"/>
            </w:tcMar>
            <w:vAlign w:val="center"/>
          </w:tcPr>
          <w:p>
            <w:pPr>
              <w:pStyle w:val="TableContents"/>
              <w:bidi w:val="0"/>
              <w:spacing w:before="0" w:after="0"/>
              <w:jc w:val="left"/>
              <w:rPr/>
            </w:pPr>
            <w:r>
              <w:rPr>
                <w:spacing w:val="-4"/>
              </w:rPr>
              <w:t>Cash and restricted cash at the end of the period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80" w:type="dxa"/>
            <w:tcBorders>
              <w:bottom w:val="double" w:sz="8" w:space="0" w:color="000000"/>
            </w:tcBorders>
            <w:shd w:fill="CCEEFF" w:val="clear"/>
            <w:tcMar>
              <w:bottom w:w="50" w:type="dxa"/>
            </w:tcMar>
            <w:vAlign w:val="center"/>
          </w:tcPr>
          <w:p>
            <w:pPr>
              <w:pStyle w:val="TableContents"/>
              <w:bidi w:val="0"/>
              <w:spacing w:before="0" w:after="283"/>
              <w:jc w:val="right"/>
              <w:rPr/>
            </w:pPr>
            <w:r>
              <w:rPr/>
              <w:t>142,693</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33" w:type="dxa"/>
            <w:tcBorders>
              <w:bottom w:val="double" w:sz="8" w:space="0" w:color="000000"/>
            </w:tcBorders>
            <w:shd w:fill="CCEEFF" w:val="clear"/>
            <w:tcMar>
              <w:bottom w:w="50" w:type="dxa"/>
            </w:tcMar>
            <w:vAlign w:val="center"/>
          </w:tcPr>
          <w:p>
            <w:pPr>
              <w:pStyle w:val="TableContents"/>
              <w:bidi w:val="0"/>
              <w:spacing w:before="0" w:after="283"/>
              <w:jc w:val="right"/>
              <w:rPr/>
            </w:pPr>
            <w:r>
              <w:rPr/>
              <w:t>166,533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73" w:type="dxa"/>
            <w:tcBorders/>
            <w:tcMar>
              <w:bottom w:w="0" w:type="dxa"/>
            </w:tcMar>
            <w:vAlign w:val="center"/>
          </w:tcPr>
          <w:p>
            <w:pPr>
              <w:pStyle w:val="TableContents"/>
              <w:bidi w:val="0"/>
              <w:spacing w:before="0" w:after="283"/>
              <w:jc w:val="left"/>
              <w:rPr/>
            </w:pPr>
            <w:r>
              <w:rPr>
                <w:spacing w:val="-4"/>
              </w:rPr>
              <w:t>Presented as: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73" w:type="dxa"/>
            <w:tcBorders/>
            <w:shd w:fill="CCEEFF" w:val="clear"/>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1,733</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3" w:type="dxa"/>
            <w:tcBorders/>
            <w:shd w:fill="CCEEFF" w:val="clear"/>
            <w:tcMar>
              <w:bottom w:w="0" w:type="dxa"/>
            </w:tcMar>
            <w:vAlign w:val="center"/>
          </w:tcPr>
          <w:p>
            <w:pPr>
              <w:pStyle w:val="TableContents"/>
              <w:bidi w:val="0"/>
              <w:spacing w:before="0" w:after="283"/>
              <w:jc w:val="right"/>
              <w:rPr/>
            </w:pPr>
            <w:r>
              <w:rPr/>
              <w:t>6,063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7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Restricted cash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980" w:type="dxa"/>
            <w:tcBorders>
              <w:bottom w:val="single" w:sz="2" w:space="0" w:color="000000"/>
            </w:tcBorders>
            <w:tcMar>
              <w:bottom w:w="50" w:type="dxa"/>
            </w:tcMar>
            <w:vAlign w:val="center"/>
          </w:tcPr>
          <w:p>
            <w:pPr>
              <w:pStyle w:val="TableContents"/>
              <w:bidi w:val="0"/>
              <w:spacing w:before="0" w:after="283"/>
              <w:jc w:val="right"/>
              <w:rPr/>
            </w:pPr>
            <w:r>
              <w:rPr/>
              <w:t>140,960</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3" w:type="dxa"/>
            <w:tcBorders>
              <w:bottom w:val="single" w:sz="2" w:space="0" w:color="000000"/>
            </w:tcBorders>
            <w:tcMar>
              <w:bottom w:w="50" w:type="dxa"/>
            </w:tcMar>
            <w:vAlign w:val="center"/>
          </w:tcPr>
          <w:p>
            <w:pPr>
              <w:pStyle w:val="TableContents"/>
              <w:bidi w:val="0"/>
              <w:spacing w:before="0" w:after="283"/>
              <w:jc w:val="right"/>
              <w:rPr/>
            </w:pPr>
            <w:r>
              <w:rPr/>
              <w:t>160,470</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73" w:type="dxa"/>
            <w:tcBorders/>
            <w:shd w:fill="CCEEFF" w:val="clear"/>
            <w:tcMar>
              <w:bottom w:w="0" w:type="dxa"/>
            </w:tcMar>
            <w:vAlign w:val="center"/>
          </w:tcPr>
          <w:p>
            <w:pPr>
              <w:pStyle w:val="TableContents"/>
              <w:bidi w:val="0"/>
              <w:spacing w:before="0" w:after="0"/>
              <w:jc w:val="left"/>
              <w:rPr/>
            </w:pPr>
            <w:r>
              <w:rPr>
                <w:spacing w:val="-4"/>
              </w:rPr>
              <w:t>Cash and restricted cash at the end of the period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80" w:type="dxa"/>
            <w:tcBorders>
              <w:bottom w:val="double" w:sz="8" w:space="0" w:color="000000"/>
            </w:tcBorders>
            <w:shd w:fill="CCEEFF" w:val="clear"/>
            <w:tcMar>
              <w:bottom w:w="50" w:type="dxa"/>
            </w:tcMar>
            <w:vAlign w:val="center"/>
          </w:tcPr>
          <w:p>
            <w:pPr>
              <w:pStyle w:val="TableContents"/>
              <w:bidi w:val="0"/>
              <w:spacing w:before="0" w:after="283"/>
              <w:jc w:val="right"/>
              <w:rPr/>
            </w:pPr>
            <w:r>
              <w:rPr/>
              <w:t>142,693</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33" w:type="dxa"/>
            <w:tcBorders>
              <w:bottom w:val="double" w:sz="8" w:space="0" w:color="000000"/>
            </w:tcBorders>
            <w:shd w:fill="CCEEFF" w:val="clear"/>
            <w:tcMar>
              <w:bottom w:w="50" w:type="dxa"/>
            </w:tcMar>
            <w:vAlign w:val="center"/>
          </w:tcPr>
          <w:p>
            <w:pPr>
              <w:pStyle w:val="TableContents"/>
              <w:bidi w:val="0"/>
              <w:spacing w:before="0" w:after="283"/>
              <w:jc w:val="right"/>
              <w:rPr/>
            </w:pPr>
            <w:r>
              <w:rPr/>
              <w:t>166,533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condensed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fNTTU"/>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THE UNAUDITED CONDENSED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FOR THE THREE AND SIX MONTHS ENDED DECEMBER 31, 2025 AND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NATURE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Oregon Energy LLC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Oregon</w:t>
      </w:r>
      <w:r>
        <w:rPr>
          <w:rFonts w:ascii="Times New Roman;Times;serif" w:hAnsi="Times New Roman;Times;serif"/>
          <w:b w:val="false"/>
          <w:i w:val="false"/>
          <w:caps w:val="false"/>
          <w:smallCaps w:val="false"/>
          <w:color w:val="000000"/>
          <w:spacing w:val="4"/>
          <w:sz w:val="20"/>
        </w:rPr>
        <w:t xml:space="preserve">”) is a limited liability company (“LLC”) formed on March 19, 2010 under the laws of the state of Oregon. The Company is engaged in uranium exploration, with operations registered in Colorado and Nevada on October 14, 2010, and Utah on April 18, 2011, to facilitate its business activities.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member-managed, with Aurora Energy Metals Limited (“Aurora”, formerly Aurora Uranium Limited and EVE Investments Limited), a publicly listed company on the Australian Securities Exchange (ASX:1AE), holding 100% of the membership interest. The 100% interest was originally held by Amaroo Resources Limited, a subsidiary of Aurora, and was transferred to Aurora on March 13, 2015 as a result of a corporate reorganization of Aurora. No consideration was transferred and there was no financial impact on the Company as a result of the reorganization. The Company is classified as a corporation for U.S. tax purposes but remains an LLC under Oregon state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2010, the Company acquired mining claims to explore and extract uranium and other valuable minerals (Aurora Uranium Project (“</w:t>
      </w:r>
      <w:r>
        <w:rPr>
          <w:rFonts w:ascii="Times New Roman;Times;serif" w:hAnsi="Times New Roman;Times;serif"/>
          <w:b/>
          <w:i w:val="false"/>
          <w:caps w:val="false"/>
          <w:smallCaps w:val="false"/>
          <w:color w:val="000000"/>
          <w:spacing w:val="-4"/>
          <w:sz w:val="20"/>
        </w:rPr>
        <w:t>AUP</w:t>
      </w:r>
      <w:r>
        <w:rPr>
          <w:rFonts w:ascii="Times New Roman;Times;serif" w:hAnsi="Times New Roman;Times;serif"/>
          <w:b w:val="false"/>
          <w:i w:val="false"/>
          <w:caps w:val="false"/>
          <w:smallCaps w:val="false"/>
          <w:color w:val="000000"/>
          <w:spacing w:val="4"/>
          <w:sz w:val="20"/>
        </w:rPr>
        <w:t xml:space="preserve">”)), located in Malheur County, Oregon, approximately 16 kilometers northwest of McDermitt, Nevada. As of December 31, 2025, the Company holds 263 unpatented lode mining claims and 71 unpatented placer mining claims in the AUP along with 27 unpatented placer mining claims in Humboldt County, Nevada. As of June 30, 2025, the Company held 263 unpatented lode mining claims and 71 unpatented placer mining claims in the AUP along with 31 unpatented placer mining claims in Humboldt County, Nevada. These claims collectively cover an area of approximately 43 square kilometers.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Risks and Uncertainties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of global financial markets and a recession or market correction, including the ongoing military conflicts between Russia and Ukraine and the related sanctions imposed against Russia as well as the conflict between Israel and Hamas, the significant tariffs imposed by the United States on imports from other countries, and other global macroeconomic factors such as inflation and rising interest rates, could reduce the Company’s ability to access capital, which could in the future negatively affect the Company’s liquidity and could materially affect the Company’s business and the value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Basis of presentation</w:t>
      </w:r>
      <w:r>
        <w:rPr>
          <w:rFonts w:ascii="Times New Roman;Times;serif" w:hAnsi="Times New Roman;Times;serif"/>
          <w:b/>
          <w:i/>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00">
                <wp:simplePos x="0" y="0"/>
                <wp:positionH relativeFrom="column">
                  <wp:align>left</wp:align>
                </wp:positionH>
                <wp:positionV relativeFrom="line">
                  <wp:align>top</wp:align>
                </wp:positionV>
                <wp:extent cx="254000" cy="350520"/>
                <wp:effectExtent l="0" t="0" r="0" b="0"/>
                <wp:wrapSquare wrapText="right"/>
                <wp:docPr id="398" name="Frame3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4"/>
                              </w:rPr>
                              <w:t>(a)</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4"/>
                        </w:rPr>
                        <w:t>(a)</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unaudited condensed financial statements are presented using the accrual basis of accounting in accordance with accounting principles generally accepted in the United States of America (“</w:t>
      </w:r>
      <w:r>
        <w:rPr>
          <w:rFonts w:ascii="Times New Roman;Times;serif" w:hAnsi="Times New Roman;Times;serif"/>
          <w:b/>
          <w:i w:val="false"/>
          <w:caps w:val="false"/>
          <w:smallCaps w:val="false"/>
          <w:color w:val="000000"/>
          <w:spacing w:val="-4"/>
          <w:sz w:val="20"/>
        </w:rPr>
        <w:t>U.S. GAAP</w:t>
      </w:r>
      <w:r>
        <w:rPr>
          <w:rFonts w:ascii="Times New Roman;Times;serif" w:hAnsi="Times New Roman;Times;serif"/>
          <w:b w:val="false"/>
          <w:i w:val="false"/>
          <w:caps w:val="false"/>
          <w:smallCaps w:val="false"/>
          <w:color w:val="000000"/>
          <w:spacing w:val="4"/>
          <w:sz w:val="20"/>
        </w:rPr>
        <w:t>”). References to the “</w:t>
      </w:r>
      <w:r>
        <w:rPr>
          <w:rFonts w:ascii="Times New Roman;Times;serif" w:hAnsi="Times New Roman;Times;serif"/>
          <w:b/>
          <w:i w:val="false"/>
          <w:caps w:val="false"/>
          <w:smallCaps w:val="false"/>
          <w:color w:val="000000"/>
          <w:spacing w:val="-4"/>
          <w:sz w:val="20"/>
        </w:rPr>
        <w:t>ASC</w:t>
      </w:r>
      <w:r>
        <w:rPr>
          <w:rFonts w:ascii="Times New Roman;Times;serif" w:hAnsi="Times New Roman;Times;serif"/>
          <w:b w:val="false"/>
          <w:i w:val="false"/>
          <w:caps w:val="false"/>
          <w:smallCaps w:val="false"/>
          <w:color w:val="000000"/>
          <w:spacing w:val="4"/>
          <w:sz w:val="20"/>
        </w:rPr>
        <w:t>” hereafter refer to the Accounting Standards Codification established by the Financial Accounting Standards Board (“</w:t>
      </w:r>
      <w:r>
        <w:rPr>
          <w:rFonts w:ascii="Times New Roman;Times;serif" w:hAnsi="Times New Roman;Times;serif"/>
          <w:b/>
          <w:i w:val="false"/>
          <w:caps w:val="false"/>
          <w:smallCaps w:val="false"/>
          <w:color w:val="000000"/>
          <w:spacing w:val="-4"/>
          <w:sz w:val="20"/>
        </w:rPr>
        <w:t>FASB</w:t>
      </w:r>
      <w:r>
        <w:rPr>
          <w:rFonts w:ascii="Times New Roman;Times;serif" w:hAnsi="Times New Roman;Times;serif"/>
          <w:b w:val="false"/>
          <w:i w:val="false"/>
          <w:caps w:val="false"/>
          <w:smallCaps w:val="false"/>
          <w:color w:val="000000"/>
          <w:spacing w:val="4"/>
          <w:sz w:val="20"/>
        </w:rPr>
        <w:t xml:space="preserve">”) as the source of authoritative U.S. GAAP. In the opinion of management, all adjustments, consisting of normal recurring adjustments, considered necessary for a fair presentation of the results of the interim periods, but are not necessarily indicative of the results of operations to be anticipated for the full year ending June 30, 2026. These unaudited condensed financial statements should be read in conjunction with the financial statements for the years ended June 30, 2025 and 2024. </w:t>
      </w:r>
    </w:p>
    <w:p>
      <w:pPr>
        <w:pStyle w:val="TextBody"/>
        <w:bidi w:val="0"/>
        <w:spacing w:lineRule="atLeast" w:line="240" w:before="230" w:after="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Going concern</w:t>
      </w:r>
      <w:r>
        <w:rPr>
          <w:rFonts w:ascii="Times New Roman;Times;serif" w:hAnsi="Times New Roman;Times;serif"/>
          <w:b/>
          <w:i/>
          <w:caps w:val="false"/>
          <w:smallCaps w:val="false"/>
          <w:color w:val="000000"/>
          <w:spacing w:val="4"/>
          <w:sz w:val="20"/>
        </w:rPr>
        <w:t xml:space="preserve"> </w:t>
      </w:r>
      <w:r>
        <mc:AlternateContent>
          <mc:Choice Requires="wps">
            <w:drawing>
              <wp:anchor behindDoc="0" distT="146050" distB="0" distL="0" distR="0" simplePos="0" locked="0" layoutInCell="1" allowOverlap="1" relativeHeight="401">
                <wp:simplePos x="0" y="0"/>
                <wp:positionH relativeFrom="column">
                  <wp:align>left</wp:align>
                </wp:positionH>
                <wp:positionV relativeFrom="line">
                  <wp:align>top</wp:align>
                </wp:positionV>
                <wp:extent cx="254000" cy="350520"/>
                <wp:effectExtent l="0" t="0" r="0" b="0"/>
                <wp:wrapSquare wrapText="right"/>
                <wp:docPr id="399" name="Frame3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4"/>
                              </w:rPr>
                              <w:t>(b)</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4"/>
                        </w:rPr>
                        <w:t>(b)</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condensed financial statements have been prepared on a going concern basis, which contemplates the realization of assets and the settlement of liabilities and commitments in the normal course of business. During the six months ended December 31, 2025, the Company recorded a net income of $14,946 (six months ended December 31, 2024 — net loss of $66,005) and an accumulated deficit of $13,434,558 (June 30, 2025 — $13,449,504).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factors raise substantial doubt about the Company’s ability to continue as a going concern within one year after the date of the unaudited condensed financial statements being issued. The ability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THE UNAUDITED CONDENSED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FOR THE THREE AND SIX MONTHS ENDED DECEMBER 31,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to continue as a going concern is dependent upon the Company’s ability to raise additional funds and implement its business plan. The unaudited condensed financial statements do not include any adjustments that might be necessary if the Company is unable to continue as a going concern. Such adjustments could be material.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Company had cash in the amount of $1,733 (June 30, 2025 — $16,731). The continuation of the Company as a going concern is dependent upon its ability to obtain necessary debt or equity financing to continue operations until it begins generating positive cash flow. 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membership interest, in the case or equity financing. </w:t>
      </w:r>
    </w:p>
    <w:p>
      <w:pPr>
        <w:pStyle w:val="TextBody"/>
        <w:bidi w:val="0"/>
        <w:spacing w:lineRule="atLeast" w:line="240" w:before="218" w:after="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Functional and presentation currencies</w:t>
      </w:r>
      <w:r>
        <w:rPr>
          <w:rFonts w:ascii="Times New Roman;Times;serif" w:hAnsi="Times New Roman;Times;serif"/>
          <w:b/>
          <w:i/>
          <w:caps w:val="false"/>
          <w:smallCaps w:val="false"/>
          <w:color w:val="000000"/>
          <w:spacing w:val="4"/>
          <w:sz w:val="20"/>
        </w:rPr>
        <w:t xml:space="preserve"> </w:t>
      </w:r>
      <w:r>
        <mc:AlternateContent>
          <mc:Choice Requires="wps">
            <w:drawing>
              <wp:anchor behindDoc="0" distT="138430" distB="0" distL="0" distR="0" simplePos="0" locked="0" layoutInCell="1" allowOverlap="1" relativeHeight="402">
                <wp:simplePos x="0" y="0"/>
                <wp:positionH relativeFrom="column">
                  <wp:align>left</wp:align>
                </wp:positionH>
                <wp:positionV relativeFrom="line">
                  <wp:align>top</wp:align>
                </wp:positionV>
                <wp:extent cx="254000" cy="350520"/>
                <wp:effectExtent l="0" t="0" r="0" b="0"/>
                <wp:wrapSquare wrapText="right"/>
                <wp:docPr id="400" name="Frame3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4"/>
                              </w:rPr>
                              <w:t>(c)</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9pt;mso-wrap-distance-bottom:0pt;margin-top:10.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4"/>
                        </w:rPr>
                        <w:t>(c)</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condensed financial statements of the Company are presented in United States dollars, which is the functional currency of the Company. </w:t>
      </w:r>
    </w:p>
    <w:p>
      <w:pPr>
        <w:pStyle w:val="TextBody"/>
        <w:bidi w:val="0"/>
        <w:spacing w:lineRule="atLeast" w:line="240" w:before="218" w:after="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Use of estimates and judgments</w:t>
      </w:r>
      <w:r>
        <w:rPr>
          <w:rFonts w:ascii="Times New Roman;Times;serif" w:hAnsi="Times New Roman;Times;serif"/>
          <w:b/>
          <w:i/>
          <w:caps w:val="false"/>
          <w:smallCaps w:val="false"/>
          <w:color w:val="000000"/>
          <w:spacing w:val="4"/>
          <w:sz w:val="20"/>
        </w:rPr>
        <w:t xml:space="preserve"> </w:t>
      </w:r>
      <w:r>
        <mc:AlternateContent>
          <mc:Choice Requires="wps">
            <w:drawing>
              <wp:anchor behindDoc="0" distT="138430" distB="0" distL="0" distR="0" simplePos="0" locked="0" layoutInCell="1" allowOverlap="1" relativeHeight="403">
                <wp:simplePos x="0" y="0"/>
                <wp:positionH relativeFrom="column">
                  <wp:align>left</wp:align>
                </wp:positionH>
                <wp:positionV relativeFrom="line">
                  <wp:align>top</wp:align>
                </wp:positionV>
                <wp:extent cx="254000" cy="350520"/>
                <wp:effectExtent l="0" t="0" r="0" b="0"/>
                <wp:wrapSquare wrapText="right"/>
                <wp:docPr id="401" name="Frame3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4"/>
                              </w:rPr>
                              <w:t>(d)</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9pt;mso-wrap-distance-bottom:0pt;margin-top:10.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4"/>
                        </w:rPr>
                        <w:t>(d)</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unaudited condensed financial statements in conformity with U.S. GAAP requires the Company’s management to make judgments, estimates and assumptions, about future events that may impact the amounts reported in the unaudited condensed financial statements. Actual results may differ from these estimates. Estimates and underlying assumptions are reviewed on an ongoing basis. Revisions to estimates are made prospectively.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Key estimates made by management with respect to the areas noted have been disclosed in the notes to these unaudited condensed financial statements (see Note 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SUMMARY OF SIGNIFICANT ACCOUNTING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accounting policies applied in the preparation of these unaudited condensed financial statements are consistent with the accounting policies disclosed in Note 3 of the audited financial statements for the year ended June 30,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RECLAMATION AND ENVIRONMENTAL OBLIGATION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Reclamation and environmental costs are based principally on legal requirements. Management estimates the cost associated with reclamation of land to its original state before drilling or exploration of mineral rights occurred. On an ongoing basis the Company evaluates its estimates and assumptions; however, actual amounts could differ from those based on estimates and assumptions.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has posted several cash bonds as financial security to satisfy reclamation requirements. As of December 31, 2025 and June 30, 2025, the Company has restricted cash totaling $140,960, held as financial guarantees through bonds posted with the Bureau of Land Management of the United States Department of the Interior (“</w:t>
      </w:r>
      <w:r>
        <w:rPr>
          <w:rFonts w:ascii="Times New Roman;Times;serif" w:hAnsi="Times New Roman;Times;serif"/>
          <w:b/>
          <w:i w:val="false"/>
          <w:caps w:val="false"/>
          <w:smallCaps w:val="false"/>
          <w:color w:val="000000"/>
          <w:spacing w:val="-4"/>
          <w:sz w:val="20"/>
        </w:rPr>
        <w:t>BLM</w:t>
      </w:r>
      <w:r>
        <w:rPr>
          <w:rFonts w:ascii="Times New Roman;Times;serif" w:hAnsi="Times New Roman;Times;serif"/>
          <w:b w:val="false"/>
          <w:i w:val="false"/>
          <w:caps w:val="false"/>
          <w:smallCaps w:val="false"/>
          <w:color w:val="000000"/>
          <w:spacing w:val="4"/>
          <w:sz w:val="20"/>
        </w:rPr>
        <w:t>”) and the Oregon Department of Geology and Mineral Industries (“</w:t>
      </w:r>
      <w:r>
        <w:rPr>
          <w:rFonts w:ascii="Times New Roman;Times;serif" w:hAnsi="Times New Roman;Times;serif"/>
          <w:b/>
          <w:i w:val="false"/>
          <w:caps w:val="false"/>
          <w:smallCaps w:val="false"/>
          <w:color w:val="000000"/>
          <w:spacing w:val="-4"/>
          <w:sz w:val="20"/>
        </w:rPr>
        <w:t>DOGAMI</w:t>
      </w:r>
      <w:r>
        <w:rPr>
          <w:rFonts w:ascii="Times New Roman;Times;serif" w:hAnsi="Times New Roman;Times;serif"/>
          <w:b w:val="false"/>
          <w:i w:val="false"/>
          <w:caps w:val="false"/>
          <w:smallCaps w:val="false"/>
          <w:color w:val="000000"/>
          <w:spacing w:val="4"/>
          <w:sz w:val="20"/>
        </w:rPr>
        <w:t xml:space="preserve">”). These funds serve as security for potential future reclamation obligations for mineral exploration activities that took place in fiscal year 2023. The Company originally deposited a total of $160,470 with BLM and DOGAMI. During the year ended June 30, 2025, the Company received refunds of $19,510 from the BLM as part of a reduction of cash bonds, as the Company was deemed to have fulfilled part of its reclamation obligations. The refunds resulted in a reclassification from restricted cash to cash. Other remaining cash bonds are retained by the BLM and DOGAMI until revegetation was deemed successful by the BLM and DOGAMI.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cash bonds posted with BLM and DOGAMI were estimated to be sufficient for full satisfaction of the Company’s reclamation obligations, the Company has estimated the undiscounted reclamation costs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THE UNAUDITED CONDENSED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FOR THE THREE AND SIX MONTHS ENDED DECEMBER 31,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mineral exploration activities required by the BLM and DOGAMI to be $160,470 at initial recognition during the year ended June 30, 2023. These costs were incurred in the fiscal years of 2023 to 2025. The expected costs were recognized at the amounts of cash bonds required by the BLM and DOGAMI, as the majority of such costs were expected to be settled during the year ended June 30, 2023.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Increases in reclamation and environmental obligation associated with the exploration activities of the Company are not capitalized to mineral rights (Note 6), as only acquisition costs are capitalizable in accordance with ASC 930, “Extractive Activities-Mining”.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the Company’s reclamation and environmental obligation for the six months ended December 31, 2025 and the year ended June 30, 2025 are as follows: </w:t>
      </w:r>
    </w:p>
    <w:tbl>
      <w:tblPr>
        <w:tblW w:w="7243" w:type="dxa"/>
        <w:jc w:val="left"/>
        <w:tblInd w:w="1393" w:type="dxa"/>
        <w:tblLayout w:type="fixed"/>
        <w:tblCellMar>
          <w:top w:w="0" w:type="dxa"/>
          <w:left w:w="0" w:type="dxa"/>
          <w:bottom w:w="28" w:type="dxa"/>
          <w:right w:w="0" w:type="dxa"/>
        </w:tblCellMar>
      </w:tblPr>
      <w:tblGrid>
        <w:gridCol w:w="3175"/>
        <w:gridCol w:w="109"/>
        <w:gridCol w:w="109"/>
        <w:gridCol w:w="275"/>
        <w:gridCol w:w="573"/>
        <w:gridCol w:w="877"/>
        <w:gridCol w:w="278"/>
        <w:gridCol w:w="109"/>
        <w:gridCol w:w="109"/>
        <w:gridCol w:w="129"/>
        <w:gridCol w:w="269"/>
        <w:gridCol w:w="948"/>
        <w:gridCol w:w="129"/>
        <w:gridCol w:w="154"/>
      </w:tblGrid>
      <w:tr>
        <w:trPr/>
        <w:tc>
          <w:tcPr>
            <w:tcW w:w="317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December 31, 2025</w:t>
            </w:r>
            <w:r>
              <w:rPr/>
              <w:t xml:space="preserve"> </w:t>
              <w:br/>
            </w:r>
            <w:r>
              <w:rPr>
                <w:spacing w:val="-3"/>
              </w:rPr>
              <w:t xml:space="preserve">(Unaudited)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June 30,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75" w:type="dxa"/>
            <w:tcBorders/>
            <w:shd w:fill="CCEEFF" w:val="clear"/>
            <w:tcMar>
              <w:bottom w:w="0" w:type="dxa"/>
            </w:tcMar>
            <w:vAlign w:val="center"/>
          </w:tcPr>
          <w:p>
            <w:pPr>
              <w:pStyle w:val="TableContents"/>
              <w:bidi w:val="0"/>
              <w:spacing w:before="0" w:after="0"/>
              <w:jc w:val="left"/>
              <w:rPr>
                <w:spacing w:val="4"/>
              </w:rPr>
            </w:pPr>
            <w:r>
              <w:rPr>
                <w:spacing w:val="4"/>
              </w:rPr>
              <w:t xml:space="preserve">Balance at beginning of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2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948" w:type="dxa"/>
            <w:tcBorders/>
            <w:shd w:fill="CCEEFF" w:val="clear"/>
            <w:tcMar>
              <w:bottom w:w="0" w:type="dxa"/>
            </w:tcMar>
            <w:vAlign w:val="center"/>
          </w:tcPr>
          <w:p>
            <w:pPr>
              <w:pStyle w:val="TableContents"/>
              <w:bidi w:val="0"/>
              <w:spacing w:before="0" w:after="283"/>
              <w:jc w:val="right"/>
              <w:rPr/>
            </w:pPr>
            <w:r>
              <w:rPr/>
              <w:t>2,000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7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Settlement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5" w:type="dxa"/>
            <w:tcBorders>
              <w:bottom w:val="single" w:sz="2" w:space="0" w:color="FFFFFF"/>
            </w:tcBorders>
            <w:vAlign w:val="center"/>
          </w:tcPr>
          <w:p>
            <w:pPr>
              <w:pStyle w:val="TableContents"/>
              <w:bidi w:val="0"/>
              <w:spacing w:before="0" w:after="283"/>
              <w:jc w:val="left"/>
              <w:rPr/>
            </w:pPr>
            <w:r>
              <w:rPr/>
              <w:t>​</w:t>
            </w:r>
          </w:p>
        </w:tc>
        <w:tc>
          <w:tcPr>
            <w:tcW w:w="573"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w:t>
            </w:r>
          </w:p>
        </w:tc>
        <w:tc>
          <w:tcPr>
            <w:tcW w:w="2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 w:type="dxa"/>
            <w:tcBorders>
              <w:bottom w:val="single" w:sz="2" w:space="0" w:color="FFFFFF"/>
            </w:tcBorders>
            <w:vAlign w:val="center"/>
          </w:tcPr>
          <w:p>
            <w:pPr>
              <w:pStyle w:val="TableContents"/>
              <w:bidi w:val="0"/>
              <w:spacing w:before="0" w:after="283"/>
              <w:jc w:val="left"/>
              <w:rPr/>
            </w:pPr>
            <w:r>
              <w:rPr/>
              <w:t>​</w:t>
            </w:r>
          </w:p>
        </w:tc>
        <w:tc>
          <w:tcPr>
            <w:tcW w:w="269" w:type="dxa"/>
            <w:tcBorders>
              <w:bottom w:val="single" w:sz="2" w:space="0" w:color="000000"/>
            </w:tcBorders>
            <w:tcMar>
              <w:bottom w:w="50" w:type="dxa"/>
            </w:tcMar>
            <w:vAlign w:val="center"/>
          </w:tcPr>
          <w:p>
            <w:pPr>
              <w:pStyle w:val="TableContents"/>
              <w:bidi w:val="0"/>
              <w:spacing w:before="0" w:after="283"/>
              <w:jc w:val="right"/>
              <w:rPr/>
            </w:pPr>
            <w:r>
              <w:rPr/>
              <w:t>​</w:t>
            </w:r>
          </w:p>
        </w:tc>
        <w:tc>
          <w:tcPr>
            <w:tcW w:w="948" w:type="dxa"/>
            <w:tcBorders>
              <w:bottom w:val="single" w:sz="2" w:space="0" w:color="000000"/>
            </w:tcBorders>
            <w:tcMar>
              <w:bottom w:w="50" w:type="dxa"/>
            </w:tcMar>
            <w:vAlign w:val="center"/>
          </w:tcPr>
          <w:p>
            <w:pPr>
              <w:pStyle w:val="TableContents"/>
              <w:bidi w:val="0"/>
              <w:spacing w:before="0" w:after="283"/>
              <w:jc w:val="right"/>
              <w:rPr/>
            </w:pPr>
            <w:r>
              <w:rPr/>
              <w:t>(2,000)</w:t>
            </w:r>
          </w:p>
        </w:tc>
        <w:tc>
          <w:tcPr>
            <w:tcW w:w="12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75" w:type="dxa"/>
            <w:tcBorders/>
            <w:shd w:fill="CCEEFF" w:val="clear"/>
            <w:tcMar>
              <w:bottom w:w="0" w:type="dxa"/>
            </w:tcMar>
            <w:vAlign w:val="center"/>
          </w:tcPr>
          <w:p>
            <w:pPr>
              <w:pStyle w:val="TableContents"/>
              <w:bidi w:val="0"/>
              <w:spacing w:before="0" w:after="0"/>
              <w:jc w:val="left"/>
              <w:rPr>
                <w:spacing w:val="4"/>
              </w:rPr>
            </w:pPr>
            <w:r>
              <w:rPr>
                <w:spacing w:val="4"/>
              </w:rPr>
              <w:t xml:space="preserve">Balance at end of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left"/>
              <w:rPr/>
            </w:pPr>
            <w:r>
              <w:rPr/>
              <w:t>​</w:t>
            </w:r>
          </w:p>
        </w:tc>
        <w:tc>
          <w:tcPr>
            <w:tcW w:w="57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7"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2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4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36"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comprise the following as of December 31 2025 and June 30, 2025: </w:t>
      </w:r>
    </w:p>
    <w:tbl>
      <w:tblPr>
        <w:tblW w:w="8838" w:type="dxa"/>
        <w:jc w:val="left"/>
        <w:tblInd w:w="1393" w:type="dxa"/>
        <w:tblLayout w:type="fixed"/>
        <w:tblCellMar>
          <w:top w:w="0" w:type="dxa"/>
          <w:left w:w="0" w:type="dxa"/>
          <w:bottom w:w="28" w:type="dxa"/>
          <w:right w:w="0" w:type="dxa"/>
        </w:tblCellMar>
      </w:tblPr>
      <w:tblGrid>
        <w:gridCol w:w="1424"/>
        <w:gridCol w:w="109"/>
        <w:gridCol w:w="109"/>
        <w:gridCol w:w="109"/>
        <w:gridCol w:w="226"/>
        <w:gridCol w:w="886"/>
        <w:gridCol w:w="109"/>
        <w:gridCol w:w="109"/>
        <w:gridCol w:w="109"/>
        <w:gridCol w:w="109"/>
        <w:gridCol w:w="226"/>
        <w:gridCol w:w="646"/>
        <w:gridCol w:w="109"/>
        <w:gridCol w:w="109"/>
        <w:gridCol w:w="109"/>
        <w:gridCol w:w="109"/>
        <w:gridCol w:w="226"/>
        <w:gridCol w:w="766"/>
        <w:gridCol w:w="109"/>
        <w:gridCol w:w="109"/>
        <w:gridCol w:w="109"/>
        <w:gridCol w:w="109"/>
        <w:gridCol w:w="226"/>
        <w:gridCol w:w="766"/>
        <w:gridCol w:w="109"/>
        <w:gridCol w:w="109"/>
        <w:gridCol w:w="109"/>
        <w:gridCol w:w="109"/>
        <w:gridCol w:w="226"/>
        <w:gridCol w:w="886"/>
        <w:gridCol w:w="109"/>
        <w:gridCol w:w="154"/>
      </w:tblGrid>
      <w:tr>
        <w:trPr/>
        <w:tc>
          <w:tcPr>
            <w:tcW w:w="14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Land and</w:t>
            </w:r>
            <w:r>
              <w:rPr/>
              <w:t xml:space="preserve"> </w:t>
              <w:br/>
            </w:r>
            <w:r>
              <w:rPr>
                <w:spacing w:val="-3"/>
              </w:rPr>
              <w:t xml:space="preserve">buildings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Furniture</w:t>
            </w:r>
            <w:r>
              <w:rPr/>
              <w:t xml:space="preserve"> </w:t>
              <w:br/>
            </w:r>
            <w:r>
              <w:rPr>
                <w:spacing w:val="-3"/>
              </w:rPr>
              <w:t>and</w:t>
            </w:r>
            <w:r>
              <w:rPr/>
              <w:t xml:space="preserve"> </w:t>
              <w:br/>
            </w:r>
            <w:r>
              <w:rPr>
                <w:spacing w:val="-3"/>
              </w:rPr>
              <w:t xml:space="preserve">equipment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Moveable</w:t>
            </w:r>
            <w:r>
              <w:rPr/>
              <w:t xml:space="preserve"> </w:t>
              <w:br/>
            </w:r>
            <w:r>
              <w:rPr>
                <w:spacing w:val="-3"/>
              </w:rPr>
              <w:t xml:space="preserve">equipment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Other</w:t>
            </w:r>
            <w:r>
              <w:rPr/>
              <w:t xml:space="preserve"> </w:t>
              <w:br/>
            </w:r>
            <w:r>
              <w:rPr>
                <w:spacing w:val="-3"/>
              </w:rPr>
              <w:t xml:space="preserve">equipment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24" w:type="dxa"/>
            <w:tcBorders/>
            <w:shd w:fill="CCEEFF" w:val="clear"/>
            <w:tcMar>
              <w:bottom w:w="0" w:type="dxa"/>
            </w:tcMar>
            <w:vAlign w:val="center"/>
          </w:tcPr>
          <w:p>
            <w:pPr>
              <w:pStyle w:val="TableContents"/>
              <w:bidi w:val="0"/>
              <w:spacing w:before="0" w:after="283"/>
              <w:jc w:val="left"/>
              <w:rPr/>
            </w:pPr>
            <w:r>
              <w:rPr>
                <w:spacing w:val="-4"/>
              </w:rPr>
              <w:t>Cost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4" w:type="dxa"/>
            <w:tcBorders/>
            <w:tcMar>
              <w:bottom w:w="0" w:type="dxa"/>
            </w:tcMar>
            <w:vAlign w:val="center"/>
          </w:tcPr>
          <w:p>
            <w:pPr>
              <w:pStyle w:val="TableContents"/>
              <w:bidi w:val="0"/>
              <w:spacing w:before="0" w:after="0"/>
              <w:jc w:val="left"/>
              <w:rPr>
                <w:spacing w:val="4"/>
              </w:rPr>
            </w:pPr>
            <w:r>
              <w:rPr>
                <w:spacing w:val="4"/>
              </w:rPr>
              <w:t xml:space="preserve">Balance as of June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5,108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10,344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285,764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Additions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424" w:type="dxa"/>
            <w:tcBorders/>
            <w:tcMar>
              <w:bottom w:w="0" w:type="dxa"/>
            </w:tcMar>
            <w:vAlign w:val="center"/>
          </w:tcPr>
          <w:p>
            <w:pPr>
              <w:pStyle w:val="TableContents"/>
              <w:bidi w:val="0"/>
              <w:spacing w:before="0" w:after="0"/>
              <w:jc w:val="left"/>
              <w:rPr/>
            </w:pPr>
            <w:r>
              <w:rPr>
                <w:spacing w:val="-4"/>
              </w:rPr>
              <w:t>Balance as of June 30, 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5,108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10,344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285,764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Additions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424" w:type="dxa"/>
            <w:tcBorders>
              <w:bottom w:val="single" w:sz="2" w:space="0" w:color="FFFFFF"/>
            </w:tcBorders>
            <w:tcMar>
              <w:bottom w:w="50" w:type="dxa"/>
            </w:tcMar>
            <w:vAlign w:val="center"/>
          </w:tcPr>
          <w:p>
            <w:pPr>
              <w:pStyle w:val="TableContents"/>
              <w:bidi w:val="0"/>
              <w:spacing w:before="0" w:after="0"/>
              <w:jc w:val="left"/>
              <w:rPr/>
            </w:pPr>
            <w:r>
              <w:rPr>
                <w:spacing w:val="-4"/>
              </w:rPr>
              <w:t>Balance as of December 31, 2025 (Unaudited)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248,009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5,108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10,344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22,303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285,764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24" w:type="dxa"/>
            <w:tcBorders/>
            <w:shd w:fill="CCEEFF" w:val="clear"/>
            <w:tcMar>
              <w:bottom w:w="0" w:type="dxa"/>
            </w:tcMar>
            <w:vAlign w:val="center"/>
          </w:tcPr>
          <w:p>
            <w:pPr>
              <w:pStyle w:val="TableContents"/>
              <w:bidi w:val="0"/>
              <w:spacing w:before="0" w:after="283"/>
              <w:jc w:val="left"/>
              <w:rPr/>
            </w:pPr>
            <w:r>
              <w:rPr>
                <w:spacing w:val="-4"/>
              </w:rPr>
              <w:t>Accumulated Depreciation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4" w:type="dxa"/>
            <w:tcBorders/>
            <w:tcMar>
              <w:bottom w:w="0" w:type="dxa"/>
            </w:tcMar>
            <w:vAlign w:val="center"/>
          </w:tcPr>
          <w:p>
            <w:pPr>
              <w:pStyle w:val="TableContents"/>
              <w:bidi w:val="0"/>
              <w:spacing w:before="0" w:after="0"/>
              <w:jc w:val="left"/>
              <w:rPr>
                <w:spacing w:val="4"/>
              </w:rPr>
            </w:pPr>
            <w:r>
              <w:rPr>
                <w:spacing w:val="4"/>
              </w:rPr>
              <w:t xml:space="preserve">Balance as of June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4,817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22,260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Charge for the year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4,842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1,119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2,586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4,460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13,007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424" w:type="dxa"/>
            <w:tcBorders/>
            <w:tcMar>
              <w:bottom w:w="0" w:type="dxa"/>
            </w:tcMar>
            <w:vAlign w:val="center"/>
          </w:tcPr>
          <w:p>
            <w:pPr>
              <w:pStyle w:val="TableContents"/>
              <w:bidi w:val="0"/>
              <w:spacing w:before="0" w:after="0"/>
              <w:jc w:val="left"/>
              <w:rPr/>
            </w:pPr>
            <w:r>
              <w:rPr>
                <w:spacing w:val="-4"/>
              </w:rPr>
              <w:t>Balance as of June 30, 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13,085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2,889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7,403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11,890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35,267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Charge for the six-month period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2,441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565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1,304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2,249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6,559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424" w:type="dxa"/>
            <w:tcBorders>
              <w:bottom w:val="single" w:sz="2" w:space="0" w:color="FFFFFF"/>
            </w:tcBorders>
            <w:tcMar>
              <w:bottom w:w="50" w:type="dxa"/>
            </w:tcMar>
            <w:vAlign w:val="center"/>
          </w:tcPr>
          <w:p>
            <w:pPr>
              <w:pStyle w:val="TableContents"/>
              <w:bidi w:val="0"/>
              <w:spacing w:before="0" w:after="0"/>
              <w:jc w:val="left"/>
              <w:rPr/>
            </w:pPr>
            <w:r>
              <w:rPr>
                <w:spacing w:val="-4"/>
              </w:rPr>
              <w:t>Balance as of December 31, 2025 (Unaudited)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15,526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3,454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8,707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14,139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41,826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24" w:type="dxa"/>
            <w:tcBorders/>
            <w:shd w:fill="CCEEFF" w:val="clear"/>
            <w:tcMar>
              <w:bottom w:w="0" w:type="dxa"/>
            </w:tcMar>
            <w:vAlign w:val="center"/>
          </w:tcPr>
          <w:p>
            <w:pPr>
              <w:pStyle w:val="TableContents"/>
              <w:bidi w:val="0"/>
              <w:spacing w:before="0" w:after="283"/>
              <w:jc w:val="left"/>
              <w:rPr/>
            </w:pPr>
            <w:r>
              <w:rPr>
                <w:spacing w:val="-4"/>
              </w:rPr>
              <w:t>Net Book Value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4" w:type="dxa"/>
            <w:tcBorders/>
            <w:tcMar>
              <w:bottom w:w="0" w:type="dxa"/>
            </w:tcMar>
            <w:vAlign w:val="center"/>
          </w:tcPr>
          <w:p>
            <w:pPr>
              <w:pStyle w:val="TableContents"/>
              <w:bidi w:val="0"/>
              <w:spacing w:before="0" w:after="0"/>
              <w:jc w:val="left"/>
              <w:rPr>
                <w:spacing w:val="4"/>
              </w:rPr>
            </w:pPr>
            <w:r>
              <w:rPr>
                <w:spacing w:val="4"/>
              </w:rPr>
              <w:t xml:space="preserve">Balance as of June 30,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234,924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2,219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2,941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10,413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250,497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4" w:type="dxa"/>
            <w:tcBorders/>
            <w:shd w:fill="CCEEFF" w:val="clear"/>
            <w:tcMar>
              <w:bottom w:w="0" w:type="dxa"/>
            </w:tcMar>
            <w:vAlign w:val="center"/>
          </w:tcPr>
          <w:p>
            <w:pPr>
              <w:pStyle w:val="TableContents"/>
              <w:bidi w:val="0"/>
              <w:spacing w:before="0" w:after="0"/>
              <w:jc w:val="left"/>
              <w:rPr/>
            </w:pPr>
            <w:r>
              <w:rPr>
                <w:spacing w:val="-4"/>
              </w:rPr>
              <w:t>Balance as of December 31, 2025 (Unaudited)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232,483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1,654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1,637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8,164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243,938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and six months ended December 31, 2025, the Company recognized depreciation expenses of $3,279 and $6,559, respectively (three and six months ended December 31, 2024 — $3,279 and $6,557, respectively), in general and administrative costs (Note 9).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MINERAL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2010, the Company acquired rights to mining claims to explore and extract uranium and other valuable minerals on properties located in Malheur County, Oregon. The total purchase price was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4"/>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THE UNAUDITED CONDENSED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FOR THE THREE AND SIX MONTHS ENDED DECEMBER 31,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5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$2,000,000. The transaction was executed through a Quitclaim Deed, with the Company receiving the mining claims without any warranties regarding title, mineral reserves, or environmental conditions. Certain acquired mining claims remained subject to a 1.5% Net Smelter Royalty (NSR) payable to a third party. In accordance with the agreement, the Company assumed all reclamation, bonding, environmental, and regulatory obligations related to the mining claims.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ASC 930, the initial acquisition costs of $2,000,000 were capitalized as mineral rights. As of June 30, 2016, the carrying value was fully impaired.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six months ended December 31, 2025, the Company paid annual maintenance fees on mining claims amounting to $75,368 (six months ended December 30, 2024 — $76,227). Such annual maintenance fees are included in exploration and evaluation expenses in the accompanying unaudited condensed statements of operations in the periods that they are incurred.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future annual maintenance payments of approximately $72,200 will be required to maintain these mineral rights.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and June 30, 2025, the carrying amount of mineral rights is $Nil.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MEMBER’S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LLC and does not issue common stock. Instead, ownership is represented by membership interest percentages.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and June 30, 2025, Aurora holds 100% of the membership interest. Profits and losses are allocated entirely to the sole member, Aurora.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six months ended December 31, 2025 and 2024, capital contributions were made by the member amounting to $3,141 and $110,768, respectively. As of December 31, 2025 and 2024, the total capital contributions amounted to $13,876,079 and $13,833,842, respectively.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EXPLORATION AND EVALUATION EXPENSES (UNAUDITED)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of the exploration and evaluation expenses are presented below: </w:t>
      </w:r>
    </w:p>
    <w:tbl>
      <w:tblPr>
        <w:tblW w:w="8252" w:type="dxa"/>
        <w:jc w:val="left"/>
        <w:tblInd w:w="1393" w:type="dxa"/>
        <w:tblLayout w:type="fixed"/>
        <w:tblCellMar>
          <w:top w:w="0" w:type="dxa"/>
          <w:left w:w="0" w:type="dxa"/>
          <w:bottom w:w="28" w:type="dxa"/>
          <w:right w:w="0" w:type="dxa"/>
        </w:tblCellMar>
      </w:tblPr>
      <w:tblGrid>
        <w:gridCol w:w="2236"/>
        <w:gridCol w:w="109"/>
        <w:gridCol w:w="109"/>
        <w:gridCol w:w="109"/>
        <w:gridCol w:w="226"/>
        <w:gridCol w:w="766"/>
        <w:gridCol w:w="109"/>
        <w:gridCol w:w="109"/>
        <w:gridCol w:w="109"/>
        <w:gridCol w:w="109"/>
        <w:gridCol w:w="226"/>
        <w:gridCol w:w="916"/>
        <w:gridCol w:w="109"/>
        <w:gridCol w:w="109"/>
        <w:gridCol w:w="109"/>
        <w:gridCol w:w="109"/>
        <w:gridCol w:w="226"/>
        <w:gridCol w:w="766"/>
        <w:gridCol w:w="109"/>
        <w:gridCol w:w="109"/>
        <w:gridCol w:w="109"/>
        <w:gridCol w:w="109"/>
        <w:gridCol w:w="226"/>
        <w:gridCol w:w="766"/>
        <w:gridCol w:w="109"/>
        <w:gridCol w:w="154"/>
      </w:tblGrid>
      <w:tr>
        <w:trPr/>
        <w:tc>
          <w:tcPr>
            <w:tcW w:w="22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8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Three Months Ended</w:t>
            </w:r>
            <w:r>
              <w:rPr/>
              <w:t xml:space="preserve"> </w:t>
              <w:br/>
            </w:r>
            <w:r>
              <w:rPr>
                <w:spacing w:val="-3"/>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Six Months Ended</w:t>
            </w:r>
            <w:r>
              <w:rPr/>
              <w:t xml:space="preserve"> </w:t>
              <w:br/>
            </w: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Consulting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40,748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15,614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ind w:left="200" w:right="0" w:hanging="0"/>
              <w:jc w:val="left"/>
              <w:rPr>
                <w:spacing w:val="4"/>
              </w:rPr>
            </w:pPr>
            <w:r>
              <w:rPr>
                <w:spacing w:val="4"/>
              </w:rPr>
              <w:t xml:space="preserve">IT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Land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ind w:left="200" w:right="0" w:hanging="0"/>
              <w:jc w:val="left"/>
              <w:rPr>
                <w:spacing w:val="4"/>
              </w:rPr>
            </w:pPr>
            <w:r>
              <w:rPr>
                <w:spacing w:val="4"/>
              </w:rPr>
              <w:t xml:space="preserve">Occupancy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19,069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19,016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25,357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Office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ind w:left="200" w:right="0" w:hanging="0"/>
              <w:jc w:val="left"/>
              <w:rPr>
                <w:spacing w:val="4"/>
              </w:rPr>
            </w:pPr>
            <w:r>
              <w:rPr>
                <w:spacing w:val="4"/>
              </w:rPr>
              <w:t xml:space="preserve">Postage and courier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Salary and wages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3,353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4,460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6,471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6,758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37,007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6,572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86,575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48,365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89"/>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THE UNAUDITED CONDENSED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FOR THE THREE AND SIX MONTHS ENDED DECEMBER 31,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GENERAL AND ADMINISTRATION COSTS (UNAUDITED)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of general and administration costs are presented below: </w:t>
      </w:r>
    </w:p>
    <w:tbl>
      <w:tblPr>
        <w:tblW w:w="7697" w:type="dxa"/>
        <w:jc w:val="left"/>
        <w:tblInd w:w="1393" w:type="dxa"/>
        <w:tblLayout w:type="fixed"/>
        <w:tblCellMar>
          <w:top w:w="0" w:type="dxa"/>
          <w:left w:w="0" w:type="dxa"/>
          <w:bottom w:w="28" w:type="dxa"/>
          <w:right w:w="0" w:type="dxa"/>
        </w:tblCellMar>
      </w:tblPr>
      <w:tblGrid>
        <w:gridCol w:w="2071"/>
        <w:gridCol w:w="109"/>
        <w:gridCol w:w="109"/>
        <w:gridCol w:w="109"/>
        <w:gridCol w:w="226"/>
        <w:gridCol w:w="646"/>
        <w:gridCol w:w="109"/>
        <w:gridCol w:w="109"/>
        <w:gridCol w:w="109"/>
        <w:gridCol w:w="109"/>
        <w:gridCol w:w="226"/>
        <w:gridCol w:w="646"/>
        <w:gridCol w:w="109"/>
        <w:gridCol w:w="109"/>
        <w:gridCol w:w="109"/>
        <w:gridCol w:w="109"/>
        <w:gridCol w:w="226"/>
        <w:gridCol w:w="766"/>
        <w:gridCol w:w="109"/>
        <w:gridCol w:w="109"/>
        <w:gridCol w:w="109"/>
        <w:gridCol w:w="109"/>
        <w:gridCol w:w="226"/>
        <w:gridCol w:w="766"/>
        <w:gridCol w:w="109"/>
        <w:gridCol w:w="154"/>
      </w:tblGrid>
      <w:tr>
        <w:trPr/>
        <w:tc>
          <w:tcPr>
            <w:tcW w:w="2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Three Months Ended</w:t>
            </w:r>
            <w:r>
              <w:rPr/>
              <w:t xml:space="preserve"> </w:t>
              <w:br/>
            </w:r>
            <w:r>
              <w:rPr>
                <w:spacing w:val="-3"/>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Six Months Ended</w:t>
            </w:r>
            <w:r>
              <w:rPr/>
              <w:t xml:space="preserve"> </w:t>
              <w:br/>
            </w: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Bank charges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tcMar>
              <w:bottom w:w="0" w:type="dxa"/>
            </w:tcMar>
            <w:vAlign w:val="center"/>
          </w:tcPr>
          <w:p>
            <w:pPr>
              <w:pStyle w:val="TableContents"/>
              <w:bidi w:val="0"/>
              <w:spacing w:before="0" w:after="0"/>
              <w:ind w:left="200" w:right="0" w:hanging="0"/>
              <w:jc w:val="left"/>
              <w:rPr>
                <w:spacing w:val="4"/>
              </w:rPr>
            </w:pPr>
            <w:r>
              <w:rPr>
                <w:spacing w:val="4"/>
              </w:rPr>
              <w:t xml:space="preserve">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6,559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6,557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Insurance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tcMar>
              <w:bottom w:w="0" w:type="dxa"/>
            </w:tcMar>
            <w:vAlign w:val="center"/>
          </w:tcPr>
          <w:p>
            <w:pPr>
              <w:pStyle w:val="TableContents"/>
              <w:bidi w:val="0"/>
              <w:spacing w:before="0" w:after="0"/>
              <w:ind w:left="200" w:right="0" w:hanging="0"/>
              <w:jc w:val="left"/>
              <w:rPr>
                <w:spacing w:val="4"/>
              </w:rPr>
            </w:pPr>
            <w:r>
              <w:rPr>
                <w:spacing w:val="4"/>
              </w:rPr>
              <w:t xml:space="preserve">Office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Professional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Salary and wages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220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983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385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1,087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8,211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8,971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16,348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17,640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OTHER INCOME (UNAUDITED)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18, 2024, the Company and its sole member, Aurora, entered into a property option agreement with Eagle Energy Metals Corp (“Eagle”). Under the agreement, Eagle is granted an exclusive option to acquire 100% of the membership interests in the Company, subject to certain conditions including the payment of cash option fees. Pursuant to the agreement, Eagle paid $300,000 to Aurora as an option payment on December 18, 2024. The exercise of the option is subject to further conditions, including the completion of a listing on a US exchange and the completion of specified financing and technical milestones, such as making a filing in accordance with S-K 1300. The initial option period is six months, with the right to extend for up to two further six-month periods upon additional payments and expenditure commitments.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18, 2025, Eagle exercised its right to the first six-month extension and made an additional payment of $300,000 to Aurora pursuant to the property option agreement. On November 18, 2025, Eagle exercised its right to the second six-month extension and made an additional payment of $400,000 to Aurora. As part of the extensions, Eagle is also obligated to reimburse the Company for expenses of the mining operation of the AUP amounting to up to $500,000. For the three and six months ended December 31, 2025, Eagle has reimbursed the Company $27,775 and $117,869, respectively (three and six months ended December 31, 2024 — $Nil and $Nil, respectively), resulting in a cumulative reimbursement total of $201,426 (June 30, 2025 — $83,557) as of December 31, 2025.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26, 2025, Aurora, Eagle, and the Company executed a first amendment to the property option agreement. The amendment (i) revised the second extension period from six-months (deadline of May 18, 2026) to a 225 day period (deadline of July 2, 2026), and (ii) provides that the Resource Payment provisions under which Aurora may be entitled to additional payment shares as mentioned above are amended such that the determination is made following the next newly prepared SK1300 mineral resource update published by Eagle.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OREGON ENERGY LLC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THE UNAUDITED CONDENSED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FOR THE THREE AND SIX MONTHS ENDED DECEMBER 31, 2025 AND 2024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of reimbursements made by Eagle for the three and six months ended December 31, 2025 and 2024 related to exploration and evaluation expenses are presented below: </w:t>
      </w:r>
    </w:p>
    <w:tbl>
      <w:tblPr>
        <w:tblW w:w="7622" w:type="dxa"/>
        <w:jc w:val="left"/>
        <w:tblInd w:w="1393" w:type="dxa"/>
        <w:tblLayout w:type="fixed"/>
        <w:tblCellMar>
          <w:top w:w="0" w:type="dxa"/>
          <w:left w:w="0" w:type="dxa"/>
          <w:bottom w:w="28" w:type="dxa"/>
          <w:right w:w="0" w:type="dxa"/>
        </w:tblCellMar>
      </w:tblPr>
      <w:tblGrid>
        <w:gridCol w:w="2236"/>
        <w:gridCol w:w="109"/>
        <w:gridCol w:w="109"/>
        <w:gridCol w:w="109"/>
        <w:gridCol w:w="226"/>
        <w:gridCol w:w="766"/>
        <w:gridCol w:w="109"/>
        <w:gridCol w:w="109"/>
        <w:gridCol w:w="109"/>
        <w:gridCol w:w="109"/>
        <w:gridCol w:w="226"/>
        <w:gridCol w:w="466"/>
        <w:gridCol w:w="109"/>
        <w:gridCol w:w="109"/>
        <w:gridCol w:w="109"/>
        <w:gridCol w:w="109"/>
        <w:gridCol w:w="226"/>
        <w:gridCol w:w="886"/>
        <w:gridCol w:w="109"/>
        <w:gridCol w:w="109"/>
        <w:gridCol w:w="109"/>
        <w:gridCol w:w="109"/>
        <w:gridCol w:w="226"/>
        <w:gridCol w:w="466"/>
        <w:gridCol w:w="109"/>
        <w:gridCol w:w="154"/>
      </w:tblGrid>
      <w:tr>
        <w:trPr/>
        <w:tc>
          <w:tcPr>
            <w:tcW w:w="22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3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Three Months Ended</w:t>
            </w:r>
            <w:r>
              <w:rPr/>
              <w:t xml:space="preserve"> </w:t>
              <w:br/>
            </w:r>
            <w:r>
              <w:rPr>
                <w:spacing w:val="-3"/>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5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Six Months Ended</w:t>
            </w:r>
            <w:r>
              <w:rPr/>
              <w:t xml:space="preserve"> </w:t>
              <w:br/>
            </w: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Bank Charges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ind w:left="200" w:right="0" w:hanging="0"/>
              <w:jc w:val="left"/>
              <w:rPr>
                <w:spacing w:val="4"/>
              </w:rPr>
            </w:pPr>
            <w:r>
              <w:rPr>
                <w:spacing w:val="4"/>
              </w:rPr>
              <w:t xml:space="preserve">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35,845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ind w:left="200" w:right="0" w:hanging="0"/>
              <w:jc w:val="left"/>
              <w:rPr>
                <w:spacing w:val="4"/>
              </w:rPr>
            </w:pPr>
            <w:r>
              <w:rPr>
                <w:spacing w:val="4"/>
              </w:rPr>
              <w:t xml:space="preserve">Occupancy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75,368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Salary and wages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4,334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5,359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27,775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466" w:type="dxa"/>
            <w:tcBorders>
              <w:bottom w:val="double" w:sz="8" w:space="0" w:color="000000"/>
            </w:tcBorders>
            <w:tcMar>
              <w:bottom w:w="5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117,869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466" w:type="dxa"/>
            <w:tcBorders>
              <w:bottom w:val="double" w:sz="8" w:space="0" w:color="000000"/>
            </w:tcBorders>
            <w:tcMar>
              <w:bottom w:w="5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member, who is considered a related party under ASC 850, “Related Party Disclosures”, has provided financial support by funding operational expenses and making cash contributions. These contributions were made without any interest, or repayment terms and have been classified as member’s capital (Note 7).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three and six months ended December 31, 2025, the Company incurred $4,293 and $10,707, respectively (three and six months ended December 31, 2024 — $Nil and $Nil, respectively), from Mitchell River Group, the company affiliated with a director of the Company’s member, for salary recharges on administrative support services rendered to the Company, which were included in consulting fees under exploration and evaluation expenditures (Note 8). Of these recharges, the Company received $6,420 and $10,198 in reimbursements from Eagle for the three and six months ended December 31, 2025, respectively, and included in other income (Note 10).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SUBSEQUENT EVENTS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of the Company has evaluated all events and transactions occurring subsequent to December 31, 2025, through the date the accompanying unaudited condensed financial statements were issued for items that should be adjusted for or disclosed in the accompanying unaudited condensed financial statements and notes to the unaudited condensed financial statements noting no such events or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00" w:before="14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Eagle Nuclear Energy Corp.</w:t>
      </w:r>
      <w:r>
        <w:rPr>
          <w:rFonts w:ascii="Times New Roman;Times;serif" w:hAnsi="Times New Roman;Times;serif"/>
          <w:b/>
          <w:i w:val="false"/>
          <w:caps w:val="false"/>
          <w:smallCaps w:val="false"/>
          <w:color w:val="000000"/>
          <w:spacing w:val="7"/>
          <w:sz w:val="36"/>
        </w:rPr>
        <w:t xml:space="preserve"> </w:t>
      </w:r>
    </w:p>
    <w:p>
      <w:pPr>
        <w:pStyle w:val="TextBody"/>
        <w:bidi w:val="0"/>
        <w:spacing w:before="760" w:after="283"/>
        <w:jc w:val="center"/>
        <w:rPr>
          <w:caps w:val="false"/>
          <w:smallCaps w:val="false"/>
          <w:color w:val="000000"/>
        </w:rPr>
      </w:pPr>
      <w:r>
        <w:rPr>
          <w:caps w:val="false"/>
          <w:smallCaps w:val="false"/>
          <w:color w:val="000000"/>
        </w:rPr>
        <w:drawing>
          <wp:inline distT="0" distB="0" distL="0" distR="0">
            <wp:extent cx="2286000" cy="333375"/>
            <wp:effectExtent l="0" t="0" r="0" b="0"/>
            <wp:docPr id="40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7" descr=""/>
                    <pic:cNvPicPr>
                      <a:picLocks noChangeAspect="1" noChangeArrowheads="1"/>
                    </pic:cNvPicPr>
                  </pic:nvPicPr>
                  <pic:blipFill>
                    <a:blip r:embed="rId8"/>
                    <a:stretch>
                      <a:fillRect/>
                    </a:stretch>
                  </pic:blipFill>
                  <pic:spPr bwMode="auto">
                    <a:xfrm>
                      <a:off x="0" y="0"/>
                      <a:ext cx="2286000" cy="3333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0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Primary Offering of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Up to 23,422,133 shares of Common Stock Upon the Exercise of 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Up to 5,940,000 shares of Common Stock Upon Conversion of Series A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Cumulative Convertible Preferred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Secondary Offering of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Up to 30,688,995 shares of 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Up to 11,922,133 Warrants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9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28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April 24, 2026</w:t>
      </w:r>
      <w:r>
        <w:rPr>
          <w:rFonts w:ascii="Times New Roman;Times;serif" w:hAnsi="Times New Roman;Times;serif"/>
          <w:b/>
          <w:i w:val="false"/>
          <w:caps w:val="false"/>
          <w:smallCaps w:val="false"/>
          <w:color w:val="000000"/>
          <w:sz w:val="20"/>
        </w:rPr>
        <w:t xml:space="preserve"> </w:t>
      </w:r>
    </w:p>
    <w:p>
      <w:pPr>
        <w:pStyle w:val="TextBody"/>
        <w:bidi w:val="0"/>
        <w:spacing w:before="149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5.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126561</Words>
  <Characters>698828</Characters>
  <CharactersWithSpaces>838749</CharactersWithSpaces>
  <Paragraphs>20051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